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6156A" w14:textId="77777777" w:rsidR="00BC388A" w:rsidRDefault="00140473">
      <w:pPr>
        <w:pStyle w:val="Title"/>
      </w:pPr>
      <w:r>
        <w:t>D2.4 Technical, Policy and Service Management Integration Report</w:t>
      </w:r>
      <w:r>
        <w:rPr>
          <w:noProof/>
        </w:rPr>
        <w:drawing>
          <wp:anchor distT="0" distB="0" distL="114300" distR="114300" simplePos="0" relativeHeight="251658240" behindDoc="0" locked="0" layoutInCell="1" hidden="0" allowOverlap="1" wp14:anchorId="0897961D" wp14:editId="3A66909B">
            <wp:simplePos x="0" y="0"/>
            <wp:positionH relativeFrom="column">
              <wp:posOffset>1714500</wp:posOffset>
            </wp:positionH>
            <wp:positionV relativeFrom="paragraph">
              <wp:posOffset>0</wp:posOffset>
            </wp:positionV>
            <wp:extent cx="2387600" cy="2387600"/>
            <wp:effectExtent l="0" t="0" r="0" b="0"/>
            <wp:wrapTopAndBottom distT="0" distB="0"/>
            <wp:docPr id="2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2387600" cy="2387600"/>
                    </a:xfrm>
                    <a:prstGeom prst="rect">
                      <a:avLst/>
                    </a:prstGeom>
                    <a:ln/>
                  </pic:spPr>
                </pic:pic>
              </a:graphicData>
            </a:graphic>
          </wp:anchor>
        </w:drawing>
      </w:r>
    </w:p>
    <w:p w14:paraId="62D05374" w14:textId="77777777" w:rsidR="00BC388A" w:rsidRDefault="00BC388A"/>
    <w:tbl>
      <w:tblPr>
        <w:tblStyle w:val="a6"/>
        <w:tblW w:w="790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63"/>
        <w:gridCol w:w="5642"/>
      </w:tblGrid>
      <w:tr w:rsidR="00BC388A" w14:paraId="762E3BA5" w14:textId="77777777">
        <w:trPr>
          <w:trHeight w:val="540"/>
          <w:jc w:val="center"/>
        </w:trPr>
        <w:tc>
          <w:tcPr>
            <w:tcW w:w="2263" w:type="dxa"/>
            <w:vAlign w:val="center"/>
          </w:tcPr>
          <w:p w14:paraId="6D1E8213" w14:textId="77777777" w:rsidR="00BC388A" w:rsidRDefault="00140473">
            <w:pPr>
              <w:jc w:val="left"/>
              <w:rPr>
                <w:b/>
              </w:rPr>
            </w:pPr>
            <w:r>
              <w:rPr>
                <w:b/>
              </w:rPr>
              <w:t>Lead partner:</w:t>
            </w:r>
          </w:p>
        </w:tc>
        <w:tc>
          <w:tcPr>
            <w:tcW w:w="5642" w:type="dxa"/>
            <w:vAlign w:val="center"/>
          </w:tcPr>
          <w:p w14:paraId="4670F32F" w14:textId="77777777" w:rsidR="00BC388A" w:rsidRDefault="00140473">
            <w:pPr>
              <w:jc w:val="left"/>
            </w:pPr>
            <w:r>
              <w:t>EGI Foundation</w:t>
            </w:r>
          </w:p>
        </w:tc>
      </w:tr>
      <w:tr w:rsidR="00BC388A" w14:paraId="15DAB1C1" w14:textId="77777777">
        <w:trPr>
          <w:trHeight w:val="508"/>
          <w:jc w:val="center"/>
        </w:trPr>
        <w:tc>
          <w:tcPr>
            <w:tcW w:w="2263" w:type="dxa"/>
            <w:vAlign w:val="center"/>
          </w:tcPr>
          <w:p w14:paraId="66B32685" w14:textId="77777777" w:rsidR="00BC388A" w:rsidRDefault="00140473">
            <w:pPr>
              <w:jc w:val="left"/>
              <w:rPr>
                <w:b/>
              </w:rPr>
            </w:pPr>
            <w:r>
              <w:rPr>
                <w:b/>
              </w:rPr>
              <w:t>Version:</w:t>
            </w:r>
          </w:p>
        </w:tc>
        <w:tc>
          <w:tcPr>
            <w:tcW w:w="5642" w:type="dxa"/>
            <w:vAlign w:val="center"/>
          </w:tcPr>
          <w:p w14:paraId="01D9A6A5" w14:textId="5454C09F" w:rsidR="00BC388A" w:rsidRDefault="00567C6D">
            <w:pPr>
              <w:jc w:val="left"/>
            </w:pPr>
            <w:r>
              <w:t>1</w:t>
            </w:r>
            <w:r w:rsidR="00140473">
              <w:t>.0</w:t>
            </w:r>
          </w:p>
        </w:tc>
      </w:tr>
      <w:tr w:rsidR="00BC388A" w14:paraId="7D0D8AD4" w14:textId="77777777">
        <w:trPr>
          <w:trHeight w:val="508"/>
          <w:jc w:val="center"/>
        </w:trPr>
        <w:tc>
          <w:tcPr>
            <w:tcW w:w="2263" w:type="dxa"/>
            <w:vAlign w:val="center"/>
          </w:tcPr>
          <w:p w14:paraId="01E1FA3C" w14:textId="77777777" w:rsidR="00BC388A" w:rsidRDefault="00140473">
            <w:pPr>
              <w:jc w:val="left"/>
              <w:rPr>
                <w:b/>
              </w:rPr>
            </w:pPr>
            <w:r>
              <w:rPr>
                <w:b/>
              </w:rPr>
              <w:t>Status:</w:t>
            </w:r>
          </w:p>
        </w:tc>
        <w:tc>
          <w:tcPr>
            <w:tcW w:w="5642" w:type="dxa"/>
            <w:vAlign w:val="center"/>
          </w:tcPr>
          <w:p w14:paraId="55496DFE" w14:textId="2E5814B8" w:rsidR="00BC388A" w:rsidRDefault="004B0BCF">
            <w:pPr>
              <w:jc w:val="left"/>
            </w:pPr>
            <w:r>
              <w:t>Final</w:t>
            </w:r>
          </w:p>
        </w:tc>
      </w:tr>
      <w:tr w:rsidR="00BC388A" w14:paraId="54EBB47C" w14:textId="77777777">
        <w:trPr>
          <w:trHeight w:val="508"/>
          <w:jc w:val="center"/>
        </w:trPr>
        <w:tc>
          <w:tcPr>
            <w:tcW w:w="2263" w:type="dxa"/>
            <w:vAlign w:val="center"/>
          </w:tcPr>
          <w:p w14:paraId="0B93EAE5" w14:textId="77777777" w:rsidR="00BC388A" w:rsidRDefault="00140473">
            <w:pPr>
              <w:jc w:val="left"/>
              <w:rPr>
                <w:b/>
              </w:rPr>
            </w:pPr>
            <w:r>
              <w:rPr>
                <w:b/>
              </w:rPr>
              <w:t>Dissemination Level:</w:t>
            </w:r>
          </w:p>
        </w:tc>
        <w:tc>
          <w:tcPr>
            <w:tcW w:w="5642" w:type="dxa"/>
            <w:vAlign w:val="center"/>
          </w:tcPr>
          <w:p w14:paraId="44A6FAAE" w14:textId="77777777" w:rsidR="00BC388A" w:rsidRDefault="00140473">
            <w:pPr>
              <w:jc w:val="left"/>
            </w:pPr>
            <w:r>
              <w:t>PUBLIC</w:t>
            </w:r>
          </w:p>
        </w:tc>
      </w:tr>
      <w:tr w:rsidR="00BC388A" w14:paraId="6EB8F243" w14:textId="77777777">
        <w:trPr>
          <w:trHeight w:val="508"/>
          <w:jc w:val="center"/>
        </w:trPr>
        <w:tc>
          <w:tcPr>
            <w:tcW w:w="2263" w:type="dxa"/>
            <w:vAlign w:val="center"/>
          </w:tcPr>
          <w:p w14:paraId="7177D9A0" w14:textId="77777777" w:rsidR="00BC388A" w:rsidRDefault="00140473">
            <w:pPr>
              <w:jc w:val="left"/>
              <w:rPr>
                <w:b/>
              </w:rPr>
            </w:pPr>
            <w:r>
              <w:rPr>
                <w:b/>
              </w:rPr>
              <w:t>Keywords:</w:t>
            </w:r>
          </w:p>
        </w:tc>
        <w:tc>
          <w:tcPr>
            <w:tcW w:w="5642" w:type="dxa"/>
            <w:vAlign w:val="center"/>
          </w:tcPr>
          <w:p w14:paraId="1DE4D480" w14:textId="77777777" w:rsidR="00BC388A" w:rsidRDefault="00140473">
            <w:pPr>
              <w:jc w:val="left"/>
            </w:pPr>
            <w:r>
              <w:t>Onboarding, Portfolio, Catalogues, SMS, ITSM, FAIR</w:t>
            </w:r>
          </w:p>
        </w:tc>
      </w:tr>
      <w:tr w:rsidR="00BC388A" w14:paraId="556C2A7A" w14:textId="77777777">
        <w:trPr>
          <w:trHeight w:val="526"/>
          <w:jc w:val="center"/>
        </w:trPr>
        <w:tc>
          <w:tcPr>
            <w:tcW w:w="2263" w:type="dxa"/>
            <w:vAlign w:val="center"/>
          </w:tcPr>
          <w:p w14:paraId="4832E448" w14:textId="77777777" w:rsidR="00BC388A" w:rsidRDefault="00140473">
            <w:pPr>
              <w:jc w:val="left"/>
              <w:rPr>
                <w:b/>
              </w:rPr>
            </w:pPr>
            <w:r>
              <w:rPr>
                <w:b/>
              </w:rPr>
              <w:t>Document Link:</w:t>
            </w:r>
          </w:p>
        </w:tc>
        <w:tc>
          <w:tcPr>
            <w:tcW w:w="5642" w:type="dxa"/>
            <w:vAlign w:val="center"/>
          </w:tcPr>
          <w:p w14:paraId="636C8661" w14:textId="233B8A00" w:rsidR="00BC388A" w:rsidRDefault="00737C5A">
            <w:pPr>
              <w:jc w:val="left"/>
              <w:rPr>
                <w:highlight w:val="yellow"/>
              </w:rPr>
            </w:pPr>
            <w:hyperlink r:id="rId9" w:history="1">
              <w:r w:rsidR="00567C6D" w:rsidRPr="005D41BD">
                <w:rPr>
                  <w:rStyle w:val="Hyperlink"/>
                </w:rPr>
                <w:t>https://documents.egi.eu/document/3815</w:t>
              </w:r>
            </w:hyperlink>
            <w:r w:rsidR="00567C6D">
              <w:t xml:space="preserve"> </w:t>
            </w:r>
          </w:p>
        </w:tc>
      </w:tr>
    </w:tbl>
    <w:p w14:paraId="31A67219" w14:textId="77777777" w:rsidR="00BC388A" w:rsidRDefault="00140473">
      <w:r>
        <w:tab/>
      </w:r>
    </w:p>
    <w:tbl>
      <w:tblPr>
        <w:tblStyle w:val="a7"/>
        <w:tblW w:w="793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933"/>
      </w:tblGrid>
      <w:tr w:rsidR="00BC388A" w14:paraId="502B65BA" w14:textId="77777777">
        <w:trPr>
          <w:trHeight w:val="319"/>
          <w:jc w:val="center"/>
        </w:trPr>
        <w:tc>
          <w:tcPr>
            <w:tcW w:w="7933" w:type="dxa"/>
            <w:vAlign w:val="center"/>
          </w:tcPr>
          <w:p w14:paraId="5973F283" w14:textId="77777777" w:rsidR="00BC388A" w:rsidRDefault="00140473">
            <w:pPr>
              <w:jc w:val="left"/>
              <w:rPr>
                <w:b/>
              </w:rPr>
            </w:pPr>
            <w:r>
              <w:rPr>
                <w:b/>
              </w:rPr>
              <w:t>Deliverable Abstract</w:t>
            </w:r>
          </w:p>
        </w:tc>
      </w:tr>
      <w:tr w:rsidR="00BC388A" w14:paraId="5DF50DCD" w14:textId="77777777">
        <w:trPr>
          <w:trHeight w:val="2175"/>
          <w:jc w:val="center"/>
        </w:trPr>
        <w:tc>
          <w:tcPr>
            <w:tcW w:w="7933" w:type="dxa"/>
          </w:tcPr>
          <w:p w14:paraId="2BEA7E1E" w14:textId="77777777" w:rsidR="00BC388A" w:rsidRDefault="00140473">
            <w:r>
              <w:t xml:space="preserve">EGI-ACE delivers ‘EOSC Compute Platform’ services and ‘Data Space services’ in EOSC. This deliverable reports on the integration and alignment activities between EGI-ACE and EOSC. The document describes the approaches that were taken by the project for the service portfolio integration; technical interoperability; service management system; </w:t>
            </w:r>
            <w:proofErr w:type="spellStart"/>
            <w:r>
              <w:t>FAIRness</w:t>
            </w:r>
            <w:proofErr w:type="spellEnd"/>
            <w:r>
              <w:t xml:space="preserve"> assessment of the data spaces. Based on the findings the project will continue to strengthen the links with EOSC in 2022. An updated version of this deliverable will be produced as D2.8 in December 2022.  </w:t>
            </w:r>
          </w:p>
        </w:tc>
      </w:tr>
    </w:tbl>
    <w:p w14:paraId="1D1F6790" w14:textId="526E777E" w:rsidR="00BC388A" w:rsidRDefault="00BC388A">
      <w:pPr>
        <w:rPr>
          <w:b/>
        </w:rPr>
      </w:pPr>
    </w:p>
    <w:p w14:paraId="72EAED8B" w14:textId="77777777" w:rsidR="00567C6D" w:rsidRDefault="00567C6D">
      <w:pPr>
        <w:rPr>
          <w:b/>
        </w:rPr>
      </w:pPr>
    </w:p>
    <w:p w14:paraId="58D4BCFA" w14:textId="77777777" w:rsidR="00BC388A" w:rsidRDefault="00140473">
      <w:pPr>
        <w:rPr>
          <w:b/>
        </w:rPr>
      </w:pPr>
      <w:r>
        <w:rPr>
          <w:b/>
        </w:rPr>
        <w:lastRenderedPageBreak/>
        <w:t xml:space="preserve">COPYRIGHT NOTICE </w:t>
      </w:r>
    </w:p>
    <w:p w14:paraId="7462AF77" w14:textId="77777777" w:rsidR="00BC388A" w:rsidRDefault="00140473">
      <w:r>
        <w:rPr>
          <w:noProof/>
        </w:rPr>
        <w:drawing>
          <wp:inline distT="0" distB="0" distL="0" distR="0" wp14:anchorId="0BC666E3" wp14:editId="5565C2B8">
            <wp:extent cx="1227411" cy="429442"/>
            <wp:effectExtent l="0" t="0" r="0" b="0"/>
            <wp:docPr id="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227411" cy="429442"/>
                    </a:xfrm>
                    <a:prstGeom prst="rect">
                      <a:avLst/>
                    </a:prstGeom>
                    <a:ln/>
                  </pic:spPr>
                </pic:pic>
              </a:graphicData>
            </a:graphic>
          </wp:inline>
        </w:drawing>
      </w:r>
      <w:r>
        <w:rPr>
          <w:noProof/>
        </w:rPr>
        <w:drawing>
          <wp:anchor distT="0" distB="0" distL="114300" distR="114300" simplePos="0" relativeHeight="251659264" behindDoc="0" locked="0" layoutInCell="1" hidden="0" allowOverlap="1" wp14:anchorId="3BEBE5C9" wp14:editId="63DB1ACC">
            <wp:simplePos x="0" y="0"/>
            <wp:positionH relativeFrom="column">
              <wp:posOffset>3</wp:posOffset>
            </wp:positionH>
            <wp:positionV relativeFrom="paragraph">
              <wp:posOffset>85725</wp:posOffset>
            </wp:positionV>
            <wp:extent cx="500380" cy="333375"/>
            <wp:effectExtent l="0" t="0" r="0" b="0"/>
            <wp:wrapSquare wrapText="bothSides" distT="0" distB="0" distL="114300" distR="114300"/>
            <wp:docPr id="21" name="image1.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1.jpg" descr="De Europese vlag | Europese Unie"/>
                    <pic:cNvPicPr preferRelativeResize="0"/>
                  </pic:nvPicPr>
                  <pic:blipFill>
                    <a:blip r:embed="rId11"/>
                    <a:srcRect/>
                    <a:stretch>
                      <a:fillRect/>
                    </a:stretch>
                  </pic:blipFill>
                  <pic:spPr>
                    <a:xfrm>
                      <a:off x="0" y="0"/>
                      <a:ext cx="500380" cy="333375"/>
                    </a:xfrm>
                    <a:prstGeom prst="rect">
                      <a:avLst/>
                    </a:prstGeom>
                    <a:ln/>
                  </pic:spPr>
                </pic:pic>
              </a:graphicData>
            </a:graphic>
          </wp:anchor>
        </w:drawing>
      </w:r>
    </w:p>
    <w:p w14:paraId="08F2509C" w14:textId="77777777" w:rsidR="00BC388A" w:rsidRDefault="00140473">
      <w:r>
        <w:t>This work by parties of the EGI-ACE consortium is licensed under a Creative Commons Attribution 4.0 International License. (</w:t>
      </w:r>
      <w:hyperlink r:id="rId12">
        <w:r>
          <w:rPr>
            <w:u w:val="single"/>
          </w:rPr>
          <w:t>http://creativecommons.org/licenses/by/4.0/</w:t>
        </w:r>
      </w:hyperlink>
      <w:r>
        <w:t xml:space="preserve">). </w:t>
      </w:r>
    </w:p>
    <w:p w14:paraId="530B2532" w14:textId="77777777" w:rsidR="00BC388A" w:rsidRDefault="00140473">
      <w:r>
        <w:t>EGI-ACE receives funding from the European Union's Horizon 2020 research and innovation programme under grant agreement no. 101017567.</w:t>
      </w:r>
    </w:p>
    <w:p w14:paraId="6D9ED5AA" w14:textId="77777777" w:rsidR="00BC388A" w:rsidRDefault="00BC388A"/>
    <w:p w14:paraId="0177C72F" w14:textId="77777777" w:rsidR="00BC388A" w:rsidRDefault="00140473">
      <w:pPr>
        <w:rPr>
          <w:b/>
        </w:rPr>
      </w:pPr>
      <w:r>
        <w:rPr>
          <w:b/>
        </w:rPr>
        <w:t>DELIVERY SLIP</w:t>
      </w:r>
    </w:p>
    <w:tbl>
      <w:tblPr>
        <w:tblStyle w:val="a8"/>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066"/>
        <w:gridCol w:w="4308"/>
        <w:gridCol w:w="2693"/>
      </w:tblGrid>
      <w:tr w:rsidR="00BC388A" w14:paraId="252FEE7B" w14:textId="77777777" w:rsidTr="00BC38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6B210341" w14:textId="77777777" w:rsidR="00BC388A" w:rsidRDefault="00140473">
            <w:r>
              <w:t>Date</w:t>
            </w:r>
          </w:p>
        </w:tc>
        <w:tc>
          <w:tcPr>
            <w:tcW w:w="4308" w:type="dxa"/>
          </w:tcPr>
          <w:p w14:paraId="6C86C2C2" w14:textId="77777777" w:rsidR="00BC388A" w:rsidRDefault="00140473">
            <w:pPr>
              <w:cnfStyle w:val="100000000000" w:firstRow="1" w:lastRow="0" w:firstColumn="0" w:lastColumn="0" w:oddVBand="0" w:evenVBand="0" w:oddHBand="0" w:evenHBand="0" w:firstRowFirstColumn="0" w:firstRowLastColumn="0" w:lastRowFirstColumn="0" w:lastRowLastColumn="0"/>
            </w:pPr>
            <w:r>
              <w:t>Name</w:t>
            </w:r>
          </w:p>
        </w:tc>
        <w:tc>
          <w:tcPr>
            <w:tcW w:w="2693" w:type="dxa"/>
          </w:tcPr>
          <w:p w14:paraId="08EA724F" w14:textId="77777777" w:rsidR="00BC388A" w:rsidRDefault="00140473">
            <w:pPr>
              <w:cnfStyle w:val="100000000000" w:firstRow="1" w:lastRow="0" w:firstColumn="0" w:lastColumn="0" w:oddVBand="0" w:evenVBand="0" w:oddHBand="0" w:evenHBand="0" w:firstRowFirstColumn="0" w:firstRowLastColumn="0" w:lastRowFirstColumn="0" w:lastRowLastColumn="0"/>
            </w:pPr>
            <w:r>
              <w:t>Partner/Activity</w:t>
            </w:r>
          </w:p>
        </w:tc>
      </w:tr>
      <w:tr w:rsidR="00BC388A" w14:paraId="2418D265" w14:textId="77777777" w:rsidTr="00BC3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3ADCBDD9" w14:textId="77777777" w:rsidR="00BC388A" w:rsidRDefault="00140473">
            <w:r>
              <w:t>From:</w:t>
            </w:r>
          </w:p>
        </w:tc>
        <w:tc>
          <w:tcPr>
            <w:tcW w:w="4308" w:type="dxa"/>
          </w:tcPr>
          <w:p w14:paraId="416C0D84" w14:textId="77777777" w:rsidR="00BC388A" w:rsidRDefault="00140473">
            <w:pPr>
              <w:cnfStyle w:val="000000100000" w:firstRow="0" w:lastRow="0" w:firstColumn="0" w:lastColumn="0" w:oddVBand="0" w:evenVBand="0" w:oddHBand="1" w:evenHBand="0" w:firstRowFirstColumn="0" w:firstRowLastColumn="0" w:lastRowFirstColumn="0" w:lastRowLastColumn="0"/>
            </w:pPr>
            <w:r>
              <w:t>Gergely Sipos</w:t>
            </w:r>
          </w:p>
        </w:tc>
        <w:tc>
          <w:tcPr>
            <w:tcW w:w="2693" w:type="dxa"/>
          </w:tcPr>
          <w:p w14:paraId="694F5911" w14:textId="77777777" w:rsidR="00BC388A" w:rsidRDefault="00140473">
            <w:pPr>
              <w:cnfStyle w:val="000000100000" w:firstRow="0" w:lastRow="0" w:firstColumn="0" w:lastColumn="0" w:oddVBand="0" w:evenVBand="0" w:oddHBand="1" w:evenHBand="0" w:firstRowFirstColumn="0" w:firstRowLastColumn="0" w:lastRowFirstColumn="0" w:lastRowLastColumn="0"/>
            </w:pPr>
            <w:r>
              <w:t>EGI Foundation / WP2</w:t>
            </w:r>
          </w:p>
        </w:tc>
      </w:tr>
      <w:tr w:rsidR="00BC388A" w14:paraId="624A1417" w14:textId="77777777" w:rsidTr="00BC388A">
        <w:tc>
          <w:tcPr>
            <w:cnfStyle w:val="001000000000" w:firstRow="0" w:lastRow="0" w:firstColumn="1" w:lastColumn="0" w:oddVBand="0" w:evenVBand="0" w:oddHBand="0" w:evenHBand="0" w:firstRowFirstColumn="0" w:firstRowLastColumn="0" w:lastRowFirstColumn="0" w:lastRowLastColumn="0"/>
            <w:tcW w:w="2066" w:type="dxa"/>
          </w:tcPr>
          <w:p w14:paraId="674C31C6" w14:textId="77777777" w:rsidR="00BC388A" w:rsidRDefault="00140473">
            <w:r>
              <w:t>Moderated by:</w:t>
            </w:r>
          </w:p>
        </w:tc>
        <w:tc>
          <w:tcPr>
            <w:tcW w:w="4308" w:type="dxa"/>
          </w:tcPr>
          <w:p w14:paraId="711E64E6" w14:textId="46B29F40" w:rsidR="00BC388A" w:rsidRDefault="00567C6D">
            <w:pPr>
              <w:cnfStyle w:val="000000000000" w:firstRow="0" w:lastRow="0" w:firstColumn="0" w:lastColumn="0" w:oddVBand="0" w:evenVBand="0" w:oddHBand="0" w:evenHBand="0" w:firstRowFirstColumn="0" w:firstRowLastColumn="0" w:lastRowFirstColumn="0" w:lastRowLastColumn="0"/>
            </w:pPr>
            <w:r>
              <w:t>Malgorzata Krakowian</w:t>
            </w:r>
          </w:p>
        </w:tc>
        <w:tc>
          <w:tcPr>
            <w:tcW w:w="2693" w:type="dxa"/>
          </w:tcPr>
          <w:p w14:paraId="3611C1F1" w14:textId="510A7CAB" w:rsidR="00BC388A" w:rsidRDefault="00567C6D">
            <w:pPr>
              <w:cnfStyle w:val="000000000000" w:firstRow="0" w:lastRow="0" w:firstColumn="0" w:lastColumn="0" w:oddVBand="0" w:evenVBand="0" w:oddHBand="0" w:evenHBand="0" w:firstRowFirstColumn="0" w:firstRowLastColumn="0" w:lastRowFirstColumn="0" w:lastRowLastColumn="0"/>
            </w:pPr>
            <w:r>
              <w:t>EGI Foundation / WP1</w:t>
            </w:r>
          </w:p>
        </w:tc>
      </w:tr>
      <w:tr w:rsidR="00BC388A" w14:paraId="51414565" w14:textId="77777777" w:rsidTr="00BC3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4EF19284" w14:textId="77777777" w:rsidR="00BC388A" w:rsidRDefault="00140473">
            <w:r>
              <w:t>Reviewed by:</w:t>
            </w:r>
          </w:p>
        </w:tc>
        <w:tc>
          <w:tcPr>
            <w:tcW w:w="4308" w:type="dxa"/>
          </w:tcPr>
          <w:p w14:paraId="248EBBD4" w14:textId="77777777" w:rsidR="00BC388A" w:rsidRDefault="00140473">
            <w:pPr>
              <w:cnfStyle w:val="000000100000" w:firstRow="0" w:lastRow="0" w:firstColumn="0" w:lastColumn="0" w:oddVBand="0" w:evenVBand="0" w:oddHBand="1" w:evenHBand="0" w:firstRowFirstColumn="0" w:firstRowLastColumn="0" w:lastRowFirstColumn="0" w:lastRowLastColumn="0"/>
            </w:pPr>
            <w:proofErr w:type="spellStart"/>
            <w:r>
              <w:t>Małgorzata</w:t>
            </w:r>
            <w:proofErr w:type="spellEnd"/>
            <w:r>
              <w:t xml:space="preserve"> Krakowian</w:t>
            </w:r>
          </w:p>
          <w:p w14:paraId="12C880BF" w14:textId="77777777" w:rsidR="00BC388A" w:rsidRDefault="00140473">
            <w:pPr>
              <w:cnfStyle w:val="000000100000" w:firstRow="0" w:lastRow="0" w:firstColumn="0" w:lastColumn="0" w:oddVBand="0" w:evenVBand="0" w:oddHBand="1" w:evenHBand="0" w:firstRowFirstColumn="0" w:firstRowLastColumn="0" w:lastRowFirstColumn="0" w:lastRowLastColumn="0"/>
            </w:pPr>
            <w:r>
              <w:t xml:space="preserve">Andrea </w:t>
            </w:r>
            <w:proofErr w:type="spellStart"/>
            <w:r>
              <w:t>Manzi</w:t>
            </w:r>
            <w:proofErr w:type="spellEnd"/>
          </w:p>
        </w:tc>
        <w:tc>
          <w:tcPr>
            <w:tcW w:w="2693" w:type="dxa"/>
          </w:tcPr>
          <w:p w14:paraId="30FFD2DD" w14:textId="77777777" w:rsidR="00BC388A" w:rsidRDefault="00140473">
            <w:pPr>
              <w:cnfStyle w:val="000000100000" w:firstRow="0" w:lastRow="0" w:firstColumn="0" w:lastColumn="0" w:oddVBand="0" w:evenVBand="0" w:oddHBand="1" w:evenHBand="0" w:firstRowFirstColumn="0" w:firstRowLastColumn="0" w:lastRowFirstColumn="0" w:lastRowLastColumn="0"/>
            </w:pPr>
            <w:r>
              <w:t>EGI Foundation / WP1</w:t>
            </w:r>
          </w:p>
          <w:p w14:paraId="614939F5" w14:textId="77777777" w:rsidR="00BC388A" w:rsidRDefault="00140473">
            <w:pPr>
              <w:cnfStyle w:val="000000100000" w:firstRow="0" w:lastRow="0" w:firstColumn="0" w:lastColumn="0" w:oddVBand="0" w:evenVBand="0" w:oddHBand="1" w:evenHBand="0" w:firstRowFirstColumn="0" w:firstRowLastColumn="0" w:lastRowFirstColumn="0" w:lastRowLastColumn="0"/>
            </w:pPr>
            <w:r>
              <w:t>EGI Foundation / WP6</w:t>
            </w:r>
          </w:p>
        </w:tc>
      </w:tr>
      <w:tr w:rsidR="00BC388A" w14:paraId="78F32FD3" w14:textId="77777777" w:rsidTr="00BC388A">
        <w:tc>
          <w:tcPr>
            <w:cnfStyle w:val="001000000000" w:firstRow="0" w:lastRow="0" w:firstColumn="1" w:lastColumn="0" w:oddVBand="0" w:evenVBand="0" w:oddHBand="0" w:evenHBand="0" w:firstRowFirstColumn="0" w:firstRowLastColumn="0" w:lastRowFirstColumn="0" w:lastRowLastColumn="0"/>
            <w:tcW w:w="2066" w:type="dxa"/>
          </w:tcPr>
          <w:p w14:paraId="501001EA" w14:textId="77777777" w:rsidR="00BC388A" w:rsidRDefault="00140473">
            <w:r>
              <w:t>Approved by:</w:t>
            </w:r>
          </w:p>
        </w:tc>
        <w:tc>
          <w:tcPr>
            <w:tcW w:w="4308" w:type="dxa"/>
          </w:tcPr>
          <w:p w14:paraId="11266020" w14:textId="20293F60" w:rsidR="00BC388A" w:rsidRDefault="00567C6D">
            <w:pPr>
              <w:cnfStyle w:val="000000000000" w:firstRow="0" w:lastRow="0" w:firstColumn="0" w:lastColumn="0" w:oddVBand="0" w:evenVBand="0" w:oddHBand="0" w:evenHBand="0" w:firstRowFirstColumn="0" w:firstRowLastColumn="0" w:lastRowFirstColumn="0" w:lastRowLastColumn="0"/>
            </w:pPr>
            <w:r>
              <w:t>SDS</w:t>
            </w:r>
          </w:p>
        </w:tc>
        <w:tc>
          <w:tcPr>
            <w:tcW w:w="2693" w:type="dxa"/>
          </w:tcPr>
          <w:p w14:paraId="0842779B" w14:textId="77777777" w:rsidR="00BC388A" w:rsidRDefault="00BC388A">
            <w:pPr>
              <w:cnfStyle w:val="000000000000" w:firstRow="0" w:lastRow="0" w:firstColumn="0" w:lastColumn="0" w:oddVBand="0" w:evenVBand="0" w:oddHBand="0" w:evenHBand="0" w:firstRowFirstColumn="0" w:firstRowLastColumn="0" w:lastRowFirstColumn="0" w:lastRowLastColumn="0"/>
            </w:pPr>
          </w:p>
        </w:tc>
      </w:tr>
    </w:tbl>
    <w:p w14:paraId="247EAC89" w14:textId="77777777" w:rsidR="00BC388A" w:rsidRDefault="00BC388A"/>
    <w:p w14:paraId="2AADD96A" w14:textId="77777777" w:rsidR="00BC388A" w:rsidRDefault="00140473">
      <w:pPr>
        <w:rPr>
          <w:b/>
        </w:rPr>
      </w:pPr>
      <w:r>
        <w:rPr>
          <w:b/>
        </w:rPr>
        <w:t>DOCUMENT LOG</w:t>
      </w:r>
    </w:p>
    <w:tbl>
      <w:tblPr>
        <w:tblStyle w:val="a9"/>
        <w:tblW w:w="901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12"/>
        <w:gridCol w:w="1455"/>
        <w:gridCol w:w="2160"/>
        <w:gridCol w:w="4590"/>
      </w:tblGrid>
      <w:tr w:rsidR="00BC388A" w14:paraId="74BA0BAA" w14:textId="77777777" w:rsidTr="00BC38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6A7A8295" w14:textId="77777777" w:rsidR="00BC388A" w:rsidRDefault="00140473">
            <w:r>
              <w:t>Issue</w:t>
            </w:r>
          </w:p>
        </w:tc>
        <w:tc>
          <w:tcPr>
            <w:tcW w:w="1455" w:type="dxa"/>
          </w:tcPr>
          <w:p w14:paraId="78F08E7A" w14:textId="77777777" w:rsidR="00BC388A" w:rsidRDefault="00140473">
            <w:pPr>
              <w:cnfStyle w:val="100000000000" w:firstRow="1" w:lastRow="0" w:firstColumn="0" w:lastColumn="0" w:oddVBand="0" w:evenVBand="0" w:oddHBand="0" w:evenHBand="0" w:firstRowFirstColumn="0" w:firstRowLastColumn="0" w:lastRowFirstColumn="0" w:lastRowLastColumn="0"/>
            </w:pPr>
            <w:r>
              <w:t>Date</w:t>
            </w:r>
          </w:p>
        </w:tc>
        <w:tc>
          <w:tcPr>
            <w:tcW w:w="2160" w:type="dxa"/>
          </w:tcPr>
          <w:p w14:paraId="3F96E44B" w14:textId="77777777" w:rsidR="00BC388A" w:rsidRDefault="00140473">
            <w:pPr>
              <w:cnfStyle w:val="100000000000" w:firstRow="1" w:lastRow="0" w:firstColumn="0" w:lastColumn="0" w:oddVBand="0" w:evenVBand="0" w:oddHBand="0" w:evenHBand="0" w:firstRowFirstColumn="0" w:firstRowLastColumn="0" w:lastRowFirstColumn="0" w:lastRowLastColumn="0"/>
            </w:pPr>
            <w:r>
              <w:t>Comment</w:t>
            </w:r>
          </w:p>
        </w:tc>
        <w:tc>
          <w:tcPr>
            <w:tcW w:w="4590" w:type="dxa"/>
          </w:tcPr>
          <w:p w14:paraId="1AC0E265" w14:textId="77777777" w:rsidR="00BC388A" w:rsidRDefault="00140473">
            <w:pPr>
              <w:cnfStyle w:val="100000000000" w:firstRow="1" w:lastRow="0" w:firstColumn="0" w:lastColumn="0" w:oddVBand="0" w:evenVBand="0" w:oddHBand="0" w:evenHBand="0" w:firstRowFirstColumn="0" w:firstRowLastColumn="0" w:lastRowFirstColumn="0" w:lastRowLastColumn="0"/>
            </w:pPr>
            <w:r>
              <w:t>Authors</w:t>
            </w:r>
          </w:p>
        </w:tc>
      </w:tr>
      <w:tr w:rsidR="00BC388A" w14:paraId="6FFF1BAD" w14:textId="77777777" w:rsidTr="00BC3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205E63D5" w14:textId="31BB3999" w:rsidR="00BC388A" w:rsidRDefault="00140473">
            <w:r>
              <w:t>v.</w:t>
            </w:r>
            <w:r w:rsidR="00567C6D">
              <w:t>0.</w:t>
            </w:r>
            <w:r>
              <w:t>1</w:t>
            </w:r>
          </w:p>
        </w:tc>
        <w:tc>
          <w:tcPr>
            <w:tcW w:w="1455" w:type="dxa"/>
          </w:tcPr>
          <w:p w14:paraId="6028AB95" w14:textId="77777777" w:rsidR="00BC388A" w:rsidRDefault="00140473">
            <w:pPr>
              <w:cnfStyle w:val="000000100000" w:firstRow="0" w:lastRow="0" w:firstColumn="0" w:lastColumn="0" w:oddVBand="0" w:evenVBand="0" w:oddHBand="1" w:evenHBand="0" w:firstRowFirstColumn="0" w:firstRowLastColumn="0" w:lastRowFirstColumn="0" w:lastRowLastColumn="0"/>
            </w:pPr>
            <w:r>
              <w:t>11/12/2021</w:t>
            </w:r>
          </w:p>
        </w:tc>
        <w:tc>
          <w:tcPr>
            <w:tcW w:w="2160" w:type="dxa"/>
          </w:tcPr>
          <w:p w14:paraId="134B5EBB" w14:textId="77777777" w:rsidR="00BC388A" w:rsidRDefault="00140473">
            <w:pPr>
              <w:cnfStyle w:val="000000100000" w:firstRow="0" w:lastRow="0" w:firstColumn="0" w:lastColumn="0" w:oddVBand="0" w:evenVBand="0" w:oddHBand="1" w:evenHBand="0" w:firstRowFirstColumn="0" w:firstRowLastColumn="0" w:lastRowFirstColumn="0" w:lastRowLastColumn="0"/>
            </w:pPr>
            <w:r>
              <w:t>Full draft for external review</w:t>
            </w:r>
          </w:p>
        </w:tc>
        <w:tc>
          <w:tcPr>
            <w:tcW w:w="4590" w:type="dxa"/>
          </w:tcPr>
          <w:p w14:paraId="4D7DD91D" w14:textId="77777777" w:rsidR="00BC388A" w:rsidRDefault="00140473">
            <w:pPr>
              <w:cnfStyle w:val="000000100000" w:firstRow="0" w:lastRow="0" w:firstColumn="0" w:lastColumn="0" w:oddVBand="0" w:evenVBand="0" w:oddHBand="1" w:evenHBand="0" w:firstRowFirstColumn="0" w:firstRowLastColumn="0" w:lastRowFirstColumn="0" w:lastRowLastColumn="0"/>
            </w:pPr>
            <w:r>
              <w:t xml:space="preserve">Gergely Sipos, Eleonora Testa, Giuseppe La Rocca, Diego </w:t>
            </w:r>
            <w:proofErr w:type="spellStart"/>
            <w:r>
              <w:t>Scardaci</w:t>
            </w:r>
            <w:proofErr w:type="spellEnd"/>
            <w:r>
              <w:t xml:space="preserve">, Alessandro </w:t>
            </w:r>
            <w:proofErr w:type="spellStart"/>
            <w:r>
              <w:t>Paolini</w:t>
            </w:r>
            <w:proofErr w:type="spellEnd"/>
            <w:r>
              <w:t xml:space="preserve">, Matthew Viljoen, Gianni Dalla Torre, Andrea </w:t>
            </w:r>
            <w:proofErr w:type="spellStart"/>
            <w:r>
              <w:t>Manzi</w:t>
            </w:r>
            <w:proofErr w:type="spellEnd"/>
            <w:r>
              <w:t xml:space="preserve">, Enol Fernandez, Yin Chen </w:t>
            </w:r>
            <w:r>
              <w:br/>
              <w:t>(all EGI Foundation)</w:t>
            </w:r>
          </w:p>
        </w:tc>
      </w:tr>
      <w:tr w:rsidR="00BC388A" w14:paraId="60AD6CBA" w14:textId="77777777" w:rsidTr="00BC388A">
        <w:tc>
          <w:tcPr>
            <w:cnfStyle w:val="001000000000" w:firstRow="0" w:lastRow="0" w:firstColumn="1" w:lastColumn="0" w:oddVBand="0" w:evenVBand="0" w:oddHBand="0" w:evenHBand="0" w:firstRowFirstColumn="0" w:firstRowLastColumn="0" w:lastRowFirstColumn="0" w:lastRowLastColumn="0"/>
            <w:tcW w:w="812" w:type="dxa"/>
          </w:tcPr>
          <w:p w14:paraId="28D5BC80" w14:textId="0EA79BDB" w:rsidR="00BC388A" w:rsidRDefault="00140473">
            <w:r>
              <w:t>v.</w:t>
            </w:r>
            <w:r w:rsidR="00567C6D">
              <w:t>1</w:t>
            </w:r>
          </w:p>
        </w:tc>
        <w:tc>
          <w:tcPr>
            <w:tcW w:w="1455" w:type="dxa"/>
          </w:tcPr>
          <w:p w14:paraId="2AAD4FB2" w14:textId="77777777" w:rsidR="00BC388A" w:rsidRDefault="00140473">
            <w:pPr>
              <w:cnfStyle w:val="000000000000" w:firstRow="0" w:lastRow="0" w:firstColumn="0" w:lastColumn="0" w:oddVBand="0" w:evenVBand="0" w:oddHBand="0" w:evenHBand="0" w:firstRowFirstColumn="0" w:firstRowLastColumn="0" w:lastRowFirstColumn="0" w:lastRowLastColumn="0"/>
            </w:pPr>
            <w:r>
              <w:t>16/12/2021</w:t>
            </w:r>
          </w:p>
        </w:tc>
        <w:tc>
          <w:tcPr>
            <w:tcW w:w="2160" w:type="dxa"/>
          </w:tcPr>
          <w:p w14:paraId="55D7274B" w14:textId="77777777" w:rsidR="00BC388A" w:rsidRDefault="00140473">
            <w:pPr>
              <w:cnfStyle w:val="000000000000" w:firstRow="0" w:lastRow="0" w:firstColumn="0" w:lastColumn="0" w:oddVBand="0" w:evenVBand="0" w:oddHBand="0" w:evenHBand="0" w:firstRowFirstColumn="0" w:firstRowLastColumn="0" w:lastRowFirstColumn="0" w:lastRowLastColumn="0"/>
            </w:pPr>
            <w:r>
              <w:t xml:space="preserve">Updated draft based on review feedback. </w:t>
            </w:r>
          </w:p>
        </w:tc>
        <w:tc>
          <w:tcPr>
            <w:tcW w:w="4590" w:type="dxa"/>
          </w:tcPr>
          <w:p w14:paraId="3A0B5AF6" w14:textId="77777777" w:rsidR="00BC388A" w:rsidRDefault="00140473">
            <w:pPr>
              <w:cnfStyle w:val="000000000000" w:firstRow="0" w:lastRow="0" w:firstColumn="0" w:lastColumn="0" w:oddVBand="0" w:evenVBand="0" w:oddHBand="0" w:evenHBand="0" w:firstRowFirstColumn="0" w:firstRowLastColumn="0" w:lastRowFirstColumn="0" w:lastRowLastColumn="0"/>
            </w:pPr>
            <w:r>
              <w:t>Gergely Sipos (EGI Foundation)</w:t>
            </w:r>
          </w:p>
        </w:tc>
      </w:tr>
    </w:tbl>
    <w:p w14:paraId="783101D8" w14:textId="77777777" w:rsidR="00BC388A" w:rsidRDefault="00BC388A"/>
    <w:p w14:paraId="0B20B95A" w14:textId="77777777" w:rsidR="00BC388A" w:rsidRDefault="00140473">
      <w:pPr>
        <w:rPr>
          <w:b/>
        </w:rPr>
      </w:pPr>
      <w:r>
        <w:rPr>
          <w:b/>
        </w:rPr>
        <w:t>TERMINOLOGY</w:t>
      </w:r>
    </w:p>
    <w:p w14:paraId="01736B2B" w14:textId="77777777" w:rsidR="00BC388A" w:rsidRDefault="00737C5A">
      <w:hyperlink r:id="rId13">
        <w:r w:rsidR="00140473">
          <w:rPr>
            <w:color w:val="1155CC"/>
            <w:u w:val="single"/>
          </w:rPr>
          <w:t>https://confluence.egi.eu/display/EGIG</w:t>
        </w:r>
      </w:hyperlink>
    </w:p>
    <w:p w14:paraId="43E3104F" w14:textId="77777777" w:rsidR="00BC388A" w:rsidRDefault="00140473">
      <w:pPr>
        <w:rPr>
          <w:color w:val="000000"/>
        </w:rPr>
      </w:pPr>
      <w:r>
        <w:br w:type="page"/>
      </w:r>
    </w:p>
    <w:p w14:paraId="78F58FAC" w14:textId="77777777" w:rsidR="00BC388A" w:rsidRDefault="00140473">
      <w:pPr>
        <w:rPr>
          <w:b/>
          <w:color w:val="F07E19"/>
          <w:sz w:val="40"/>
          <w:szCs w:val="40"/>
        </w:rPr>
      </w:pPr>
      <w:r>
        <w:rPr>
          <w:b/>
          <w:color w:val="F07E19"/>
          <w:sz w:val="40"/>
          <w:szCs w:val="40"/>
        </w:rPr>
        <w:lastRenderedPageBreak/>
        <w:t>Table of contents</w:t>
      </w:r>
    </w:p>
    <w:sdt>
      <w:sdtPr>
        <w:rPr>
          <w:noProof w:val="0"/>
          <w:color w:val="auto"/>
        </w:rPr>
        <w:id w:val="-1857573196"/>
        <w:docPartObj>
          <w:docPartGallery w:val="Table of Contents"/>
          <w:docPartUnique/>
        </w:docPartObj>
      </w:sdtPr>
      <w:sdtEndPr/>
      <w:sdtContent>
        <w:p w14:paraId="4A2C2D08" w14:textId="5328648C" w:rsidR="00F86278" w:rsidRDefault="00140473">
          <w:pPr>
            <w:pStyle w:val="TOC1"/>
            <w:rPr>
              <w:rFonts w:asciiTheme="minorHAnsi" w:eastAsiaTheme="minorEastAsia" w:hAnsiTheme="minorHAnsi" w:cstheme="minorBidi"/>
              <w:color w:val="auto"/>
              <w:spacing w:val="0"/>
            </w:rPr>
          </w:pPr>
          <w:r>
            <w:fldChar w:fldCharType="begin"/>
          </w:r>
          <w:r>
            <w:instrText xml:space="preserve"> TOC \h \u \z </w:instrText>
          </w:r>
          <w:r>
            <w:fldChar w:fldCharType="separate"/>
          </w:r>
          <w:hyperlink w:anchor="_Toc90565234" w:history="1">
            <w:r w:rsidR="00F86278" w:rsidRPr="005267CA">
              <w:rPr>
                <w:rStyle w:val="Hyperlink"/>
              </w:rPr>
              <w:t>1. Introduction</w:t>
            </w:r>
            <w:r w:rsidR="00F86278">
              <w:rPr>
                <w:webHidden/>
              </w:rPr>
              <w:tab/>
            </w:r>
            <w:r w:rsidR="00F86278">
              <w:rPr>
                <w:webHidden/>
              </w:rPr>
              <w:fldChar w:fldCharType="begin"/>
            </w:r>
            <w:r w:rsidR="00F86278">
              <w:rPr>
                <w:webHidden/>
              </w:rPr>
              <w:instrText xml:space="preserve"> PAGEREF _Toc90565234 \h </w:instrText>
            </w:r>
            <w:r w:rsidR="00F86278">
              <w:rPr>
                <w:webHidden/>
              </w:rPr>
            </w:r>
            <w:r w:rsidR="00F86278">
              <w:rPr>
                <w:webHidden/>
              </w:rPr>
              <w:fldChar w:fldCharType="separate"/>
            </w:r>
            <w:r w:rsidR="00737C5A">
              <w:rPr>
                <w:webHidden/>
              </w:rPr>
              <w:t>6</w:t>
            </w:r>
            <w:r w:rsidR="00F86278">
              <w:rPr>
                <w:webHidden/>
              </w:rPr>
              <w:fldChar w:fldCharType="end"/>
            </w:r>
          </w:hyperlink>
        </w:p>
        <w:p w14:paraId="1BC863E0" w14:textId="65BDF5C1" w:rsidR="00F86278" w:rsidRDefault="00737C5A">
          <w:pPr>
            <w:pStyle w:val="TOC1"/>
            <w:rPr>
              <w:rFonts w:asciiTheme="minorHAnsi" w:eastAsiaTheme="minorEastAsia" w:hAnsiTheme="minorHAnsi" w:cstheme="minorBidi"/>
              <w:color w:val="auto"/>
              <w:spacing w:val="0"/>
            </w:rPr>
          </w:pPr>
          <w:hyperlink w:anchor="_Toc90565235" w:history="1">
            <w:r w:rsidR="00F86278" w:rsidRPr="005267CA">
              <w:rPr>
                <w:rStyle w:val="Hyperlink"/>
              </w:rPr>
              <w:t>2. The EGI-ACE Service Architecture</w:t>
            </w:r>
            <w:r w:rsidR="00F86278">
              <w:rPr>
                <w:webHidden/>
              </w:rPr>
              <w:tab/>
            </w:r>
            <w:r w:rsidR="00F86278">
              <w:rPr>
                <w:webHidden/>
              </w:rPr>
              <w:fldChar w:fldCharType="begin"/>
            </w:r>
            <w:r w:rsidR="00F86278">
              <w:rPr>
                <w:webHidden/>
              </w:rPr>
              <w:instrText xml:space="preserve"> PAGEREF _Toc90565235 \h </w:instrText>
            </w:r>
            <w:r w:rsidR="00F86278">
              <w:rPr>
                <w:webHidden/>
              </w:rPr>
            </w:r>
            <w:r w:rsidR="00F86278">
              <w:rPr>
                <w:webHidden/>
              </w:rPr>
              <w:fldChar w:fldCharType="separate"/>
            </w:r>
            <w:r>
              <w:rPr>
                <w:webHidden/>
              </w:rPr>
              <w:t>8</w:t>
            </w:r>
            <w:r w:rsidR="00F86278">
              <w:rPr>
                <w:webHidden/>
              </w:rPr>
              <w:fldChar w:fldCharType="end"/>
            </w:r>
          </w:hyperlink>
        </w:p>
        <w:p w14:paraId="71AC454A" w14:textId="1CDAF42E" w:rsidR="00F86278" w:rsidRDefault="00737C5A">
          <w:pPr>
            <w:pStyle w:val="TOC2"/>
            <w:rPr>
              <w:rFonts w:asciiTheme="minorHAnsi" w:eastAsiaTheme="minorEastAsia" w:hAnsiTheme="minorHAnsi" w:cstheme="minorBidi"/>
              <w:noProof/>
              <w:color w:val="auto"/>
              <w:spacing w:val="0"/>
            </w:rPr>
          </w:pPr>
          <w:hyperlink w:anchor="_Toc90565236" w:history="1">
            <w:r w:rsidR="00F86278" w:rsidRPr="005267CA">
              <w:rPr>
                <w:rStyle w:val="Hyperlink"/>
                <w:noProof/>
              </w:rPr>
              <w:t>2.1. EOSC Compute Platform services</w:t>
            </w:r>
            <w:r w:rsidR="00F86278">
              <w:rPr>
                <w:noProof/>
                <w:webHidden/>
              </w:rPr>
              <w:tab/>
            </w:r>
            <w:r w:rsidR="00F86278">
              <w:rPr>
                <w:noProof/>
                <w:webHidden/>
              </w:rPr>
              <w:fldChar w:fldCharType="begin"/>
            </w:r>
            <w:r w:rsidR="00F86278">
              <w:rPr>
                <w:noProof/>
                <w:webHidden/>
              </w:rPr>
              <w:instrText xml:space="preserve"> PAGEREF _Toc90565236 \h </w:instrText>
            </w:r>
            <w:r w:rsidR="00F86278">
              <w:rPr>
                <w:noProof/>
                <w:webHidden/>
              </w:rPr>
            </w:r>
            <w:r w:rsidR="00F86278">
              <w:rPr>
                <w:noProof/>
                <w:webHidden/>
              </w:rPr>
              <w:fldChar w:fldCharType="separate"/>
            </w:r>
            <w:r>
              <w:rPr>
                <w:noProof/>
                <w:webHidden/>
              </w:rPr>
              <w:t>8</w:t>
            </w:r>
            <w:r w:rsidR="00F86278">
              <w:rPr>
                <w:noProof/>
                <w:webHidden/>
              </w:rPr>
              <w:fldChar w:fldCharType="end"/>
            </w:r>
          </w:hyperlink>
        </w:p>
        <w:p w14:paraId="78EB1B92" w14:textId="34066CA7" w:rsidR="00F86278" w:rsidRDefault="00737C5A">
          <w:pPr>
            <w:pStyle w:val="TOC2"/>
            <w:rPr>
              <w:rFonts w:asciiTheme="minorHAnsi" w:eastAsiaTheme="minorEastAsia" w:hAnsiTheme="minorHAnsi" w:cstheme="minorBidi"/>
              <w:noProof/>
              <w:color w:val="auto"/>
              <w:spacing w:val="0"/>
            </w:rPr>
          </w:pPr>
          <w:hyperlink w:anchor="_Toc90565237" w:history="1">
            <w:r w:rsidR="00F86278" w:rsidRPr="005267CA">
              <w:rPr>
                <w:rStyle w:val="Hyperlink"/>
                <w:noProof/>
              </w:rPr>
              <w:t>2.2. Support to Data spaces</w:t>
            </w:r>
            <w:r w:rsidR="00F86278">
              <w:rPr>
                <w:noProof/>
                <w:webHidden/>
              </w:rPr>
              <w:tab/>
            </w:r>
            <w:r w:rsidR="00F86278">
              <w:rPr>
                <w:noProof/>
                <w:webHidden/>
              </w:rPr>
              <w:fldChar w:fldCharType="begin"/>
            </w:r>
            <w:r w:rsidR="00F86278">
              <w:rPr>
                <w:noProof/>
                <w:webHidden/>
              </w:rPr>
              <w:instrText xml:space="preserve"> PAGEREF _Toc90565237 \h </w:instrText>
            </w:r>
            <w:r w:rsidR="00F86278">
              <w:rPr>
                <w:noProof/>
                <w:webHidden/>
              </w:rPr>
            </w:r>
            <w:r w:rsidR="00F86278">
              <w:rPr>
                <w:noProof/>
                <w:webHidden/>
              </w:rPr>
              <w:fldChar w:fldCharType="separate"/>
            </w:r>
            <w:r>
              <w:rPr>
                <w:noProof/>
                <w:webHidden/>
              </w:rPr>
              <w:t>10</w:t>
            </w:r>
            <w:r w:rsidR="00F86278">
              <w:rPr>
                <w:noProof/>
                <w:webHidden/>
              </w:rPr>
              <w:fldChar w:fldCharType="end"/>
            </w:r>
          </w:hyperlink>
        </w:p>
        <w:p w14:paraId="6E8D9B42" w14:textId="419BDC64" w:rsidR="00F86278" w:rsidRDefault="00737C5A">
          <w:pPr>
            <w:pStyle w:val="TOC2"/>
            <w:rPr>
              <w:rFonts w:asciiTheme="minorHAnsi" w:eastAsiaTheme="minorEastAsia" w:hAnsiTheme="minorHAnsi" w:cstheme="minorBidi"/>
              <w:noProof/>
              <w:color w:val="auto"/>
              <w:spacing w:val="0"/>
            </w:rPr>
          </w:pPr>
          <w:hyperlink w:anchor="_Toc90565238" w:history="1">
            <w:r w:rsidR="00F86278" w:rsidRPr="005267CA">
              <w:rPr>
                <w:rStyle w:val="Hyperlink"/>
                <w:noProof/>
              </w:rPr>
              <w:t>2.3. Support for users and providers</w:t>
            </w:r>
            <w:r w:rsidR="00F86278">
              <w:rPr>
                <w:noProof/>
                <w:webHidden/>
              </w:rPr>
              <w:tab/>
            </w:r>
            <w:r w:rsidR="00F86278">
              <w:rPr>
                <w:noProof/>
                <w:webHidden/>
              </w:rPr>
              <w:fldChar w:fldCharType="begin"/>
            </w:r>
            <w:r w:rsidR="00F86278">
              <w:rPr>
                <w:noProof/>
                <w:webHidden/>
              </w:rPr>
              <w:instrText xml:space="preserve"> PAGEREF _Toc90565238 \h </w:instrText>
            </w:r>
            <w:r w:rsidR="00F86278">
              <w:rPr>
                <w:noProof/>
                <w:webHidden/>
              </w:rPr>
            </w:r>
            <w:r w:rsidR="00F86278">
              <w:rPr>
                <w:noProof/>
                <w:webHidden/>
              </w:rPr>
              <w:fldChar w:fldCharType="separate"/>
            </w:r>
            <w:r>
              <w:rPr>
                <w:noProof/>
                <w:webHidden/>
              </w:rPr>
              <w:t>11</w:t>
            </w:r>
            <w:r w:rsidR="00F86278">
              <w:rPr>
                <w:noProof/>
                <w:webHidden/>
              </w:rPr>
              <w:fldChar w:fldCharType="end"/>
            </w:r>
          </w:hyperlink>
        </w:p>
        <w:p w14:paraId="498A307B" w14:textId="4E1EC489" w:rsidR="00F86278" w:rsidRDefault="00737C5A">
          <w:pPr>
            <w:pStyle w:val="TOC1"/>
            <w:rPr>
              <w:rFonts w:asciiTheme="minorHAnsi" w:eastAsiaTheme="minorEastAsia" w:hAnsiTheme="minorHAnsi" w:cstheme="minorBidi"/>
              <w:color w:val="auto"/>
              <w:spacing w:val="0"/>
            </w:rPr>
          </w:pPr>
          <w:hyperlink w:anchor="_Toc90565239" w:history="1">
            <w:r w:rsidR="00F86278" w:rsidRPr="005267CA">
              <w:rPr>
                <w:rStyle w:val="Hyperlink"/>
              </w:rPr>
              <w:t>3. Service portfolio integration</w:t>
            </w:r>
            <w:r w:rsidR="00F86278">
              <w:rPr>
                <w:webHidden/>
              </w:rPr>
              <w:tab/>
            </w:r>
            <w:r w:rsidR="00F86278">
              <w:rPr>
                <w:webHidden/>
              </w:rPr>
              <w:fldChar w:fldCharType="begin"/>
            </w:r>
            <w:r w:rsidR="00F86278">
              <w:rPr>
                <w:webHidden/>
              </w:rPr>
              <w:instrText xml:space="preserve"> PAGEREF _Toc90565239 \h </w:instrText>
            </w:r>
            <w:r w:rsidR="00F86278">
              <w:rPr>
                <w:webHidden/>
              </w:rPr>
            </w:r>
            <w:r w:rsidR="00F86278">
              <w:rPr>
                <w:webHidden/>
              </w:rPr>
              <w:fldChar w:fldCharType="separate"/>
            </w:r>
            <w:r>
              <w:rPr>
                <w:webHidden/>
              </w:rPr>
              <w:t>12</w:t>
            </w:r>
            <w:r w:rsidR="00F86278">
              <w:rPr>
                <w:webHidden/>
              </w:rPr>
              <w:fldChar w:fldCharType="end"/>
            </w:r>
          </w:hyperlink>
        </w:p>
        <w:p w14:paraId="5572C21D" w14:textId="338C1316" w:rsidR="00F86278" w:rsidRDefault="00737C5A">
          <w:pPr>
            <w:pStyle w:val="TOC2"/>
            <w:rPr>
              <w:rFonts w:asciiTheme="minorHAnsi" w:eastAsiaTheme="minorEastAsia" w:hAnsiTheme="minorHAnsi" w:cstheme="minorBidi"/>
              <w:noProof/>
              <w:color w:val="auto"/>
              <w:spacing w:val="0"/>
            </w:rPr>
          </w:pPr>
          <w:hyperlink w:anchor="_Toc90565240" w:history="1">
            <w:r w:rsidR="00F86278" w:rsidRPr="005267CA">
              <w:rPr>
                <w:rStyle w:val="Hyperlink"/>
                <w:noProof/>
              </w:rPr>
              <w:t>3.1. EGI-ACE services in the EOSC Portal</w:t>
            </w:r>
            <w:r w:rsidR="00F86278">
              <w:rPr>
                <w:noProof/>
                <w:webHidden/>
              </w:rPr>
              <w:tab/>
            </w:r>
            <w:r w:rsidR="00F86278">
              <w:rPr>
                <w:noProof/>
                <w:webHidden/>
              </w:rPr>
              <w:fldChar w:fldCharType="begin"/>
            </w:r>
            <w:r w:rsidR="00F86278">
              <w:rPr>
                <w:noProof/>
                <w:webHidden/>
              </w:rPr>
              <w:instrText xml:space="preserve"> PAGEREF _Toc90565240 \h </w:instrText>
            </w:r>
            <w:r w:rsidR="00F86278">
              <w:rPr>
                <w:noProof/>
                <w:webHidden/>
              </w:rPr>
            </w:r>
            <w:r w:rsidR="00F86278">
              <w:rPr>
                <w:noProof/>
                <w:webHidden/>
              </w:rPr>
              <w:fldChar w:fldCharType="separate"/>
            </w:r>
            <w:r>
              <w:rPr>
                <w:noProof/>
                <w:webHidden/>
              </w:rPr>
              <w:t>12</w:t>
            </w:r>
            <w:r w:rsidR="00F86278">
              <w:rPr>
                <w:noProof/>
                <w:webHidden/>
              </w:rPr>
              <w:fldChar w:fldCharType="end"/>
            </w:r>
          </w:hyperlink>
        </w:p>
        <w:p w14:paraId="2E8DADCD" w14:textId="643CA80D" w:rsidR="00F86278" w:rsidRDefault="00737C5A">
          <w:pPr>
            <w:pStyle w:val="TOC2"/>
            <w:rPr>
              <w:rFonts w:asciiTheme="minorHAnsi" w:eastAsiaTheme="minorEastAsia" w:hAnsiTheme="minorHAnsi" w:cstheme="minorBidi"/>
              <w:noProof/>
              <w:color w:val="auto"/>
              <w:spacing w:val="0"/>
            </w:rPr>
          </w:pPr>
          <w:hyperlink w:anchor="_Toc90565241" w:history="1">
            <w:r w:rsidR="00F86278" w:rsidRPr="005267CA">
              <w:rPr>
                <w:rStyle w:val="Hyperlink"/>
                <w:noProof/>
              </w:rPr>
              <w:t>3.2. EGI-ACE services in EGI</w:t>
            </w:r>
            <w:r w:rsidR="00F86278">
              <w:rPr>
                <w:noProof/>
                <w:webHidden/>
              </w:rPr>
              <w:tab/>
            </w:r>
            <w:r w:rsidR="00F86278">
              <w:rPr>
                <w:noProof/>
                <w:webHidden/>
              </w:rPr>
              <w:fldChar w:fldCharType="begin"/>
            </w:r>
            <w:r w:rsidR="00F86278">
              <w:rPr>
                <w:noProof/>
                <w:webHidden/>
              </w:rPr>
              <w:instrText xml:space="preserve"> PAGEREF _Toc90565241 \h </w:instrText>
            </w:r>
            <w:r w:rsidR="00F86278">
              <w:rPr>
                <w:noProof/>
                <w:webHidden/>
              </w:rPr>
            </w:r>
            <w:r w:rsidR="00F86278">
              <w:rPr>
                <w:noProof/>
                <w:webHidden/>
              </w:rPr>
              <w:fldChar w:fldCharType="separate"/>
            </w:r>
            <w:r>
              <w:rPr>
                <w:noProof/>
                <w:webHidden/>
              </w:rPr>
              <w:t>16</w:t>
            </w:r>
            <w:r w:rsidR="00F86278">
              <w:rPr>
                <w:noProof/>
                <w:webHidden/>
              </w:rPr>
              <w:fldChar w:fldCharType="end"/>
            </w:r>
          </w:hyperlink>
        </w:p>
        <w:p w14:paraId="0C514E18" w14:textId="78078C3C" w:rsidR="00F86278" w:rsidRDefault="00737C5A">
          <w:pPr>
            <w:pStyle w:val="TOC1"/>
            <w:rPr>
              <w:rFonts w:asciiTheme="minorHAnsi" w:eastAsiaTheme="minorEastAsia" w:hAnsiTheme="minorHAnsi" w:cstheme="minorBidi"/>
              <w:color w:val="auto"/>
              <w:spacing w:val="0"/>
            </w:rPr>
          </w:pPr>
          <w:hyperlink w:anchor="_Toc90565242" w:history="1">
            <w:r w:rsidR="00F86278" w:rsidRPr="005267CA">
              <w:rPr>
                <w:rStyle w:val="Hyperlink"/>
              </w:rPr>
              <w:t>4. Technical interoperability</w:t>
            </w:r>
            <w:r w:rsidR="00F86278">
              <w:rPr>
                <w:webHidden/>
              </w:rPr>
              <w:tab/>
            </w:r>
            <w:r w:rsidR="00F86278">
              <w:rPr>
                <w:webHidden/>
              </w:rPr>
              <w:fldChar w:fldCharType="begin"/>
            </w:r>
            <w:r w:rsidR="00F86278">
              <w:rPr>
                <w:webHidden/>
              </w:rPr>
              <w:instrText xml:space="preserve"> PAGEREF _Toc90565242 \h </w:instrText>
            </w:r>
            <w:r w:rsidR="00F86278">
              <w:rPr>
                <w:webHidden/>
              </w:rPr>
            </w:r>
            <w:r w:rsidR="00F86278">
              <w:rPr>
                <w:webHidden/>
              </w:rPr>
              <w:fldChar w:fldCharType="separate"/>
            </w:r>
            <w:r>
              <w:rPr>
                <w:webHidden/>
              </w:rPr>
              <w:t>18</w:t>
            </w:r>
            <w:r w:rsidR="00F86278">
              <w:rPr>
                <w:webHidden/>
              </w:rPr>
              <w:fldChar w:fldCharType="end"/>
            </w:r>
          </w:hyperlink>
        </w:p>
        <w:p w14:paraId="262DA02C" w14:textId="7BA4F11F" w:rsidR="00F86278" w:rsidRDefault="00737C5A">
          <w:pPr>
            <w:pStyle w:val="TOC1"/>
            <w:rPr>
              <w:rFonts w:asciiTheme="minorHAnsi" w:eastAsiaTheme="minorEastAsia" w:hAnsiTheme="minorHAnsi" w:cstheme="minorBidi"/>
              <w:color w:val="auto"/>
              <w:spacing w:val="0"/>
            </w:rPr>
          </w:pPr>
          <w:hyperlink w:anchor="_Toc90565243" w:history="1">
            <w:r w:rsidR="00F86278" w:rsidRPr="005267CA">
              <w:rPr>
                <w:rStyle w:val="Hyperlink"/>
              </w:rPr>
              <w:t>5. Service Management System alignment</w:t>
            </w:r>
            <w:r w:rsidR="00F86278">
              <w:rPr>
                <w:webHidden/>
              </w:rPr>
              <w:tab/>
            </w:r>
            <w:r w:rsidR="00F86278">
              <w:rPr>
                <w:webHidden/>
              </w:rPr>
              <w:fldChar w:fldCharType="begin"/>
            </w:r>
            <w:r w:rsidR="00F86278">
              <w:rPr>
                <w:webHidden/>
              </w:rPr>
              <w:instrText xml:space="preserve"> PAGEREF _Toc90565243 \h </w:instrText>
            </w:r>
            <w:r w:rsidR="00F86278">
              <w:rPr>
                <w:webHidden/>
              </w:rPr>
            </w:r>
            <w:r w:rsidR="00F86278">
              <w:rPr>
                <w:webHidden/>
              </w:rPr>
              <w:fldChar w:fldCharType="separate"/>
            </w:r>
            <w:r>
              <w:rPr>
                <w:webHidden/>
              </w:rPr>
              <w:t>21</w:t>
            </w:r>
            <w:r w:rsidR="00F86278">
              <w:rPr>
                <w:webHidden/>
              </w:rPr>
              <w:fldChar w:fldCharType="end"/>
            </w:r>
          </w:hyperlink>
        </w:p>
        <w:p w14:paraId="3F668D54" w14:textId="36BC04D7" w:rsidR="00F86278" w:rsidRDefault="00737C5A">
          <w:pPr>
            <w:pStyle w:val="TOC2"/>
            <w:rPr>
              <w:rFonts w:asciiTheme="minorHAnsi" w:eastAsiaTheme="minorEastAsia" w:hAnsiTheme="minorHAnsi" w:cstheme="minorBidi"/>
              <w:noProof/>
              <w:color w:val="auto"/>
              <w:spacing w:val="0"/>
            </w:rPr>
          </w:pPr>
          <w:hyperlink w:anchor="_Toc90565244" w:history="1">
            <w:r w:rsidR="00F86278" w:rsidRPr="005267CA">
              <w:rPr>
                <w:rStyle w:val="Hyperlink"/>
                <w:noProof/>
              </w:rPr>
              <w:t>5.1. The EOSC Service Management System</w:t>
            </w:r>
            <w:r w:rsidR="00F86278">
              <w:rPr>
                <w:noProof/>
                <w:webHidden/>
              </w:rPr>
              <w:tab/>
            </w:r>
            <w:r w:rsidR="00F86278">
              <w:rPr>
                <w:noProof/>
                <w:webHidden/>
              </w:rPr>
              <w:fldChar w:fldCharType="begin"/>
            </w:r>
            <w:r w:rsidR="00F86278">
              <w:rPr>
                <w:noProof/>
                <w:webHidden/>
              </w:rPr>
              <w:instrText xml:space="preserve"> PAGEREF _Toc90565244 \h </w:instrText>
            </w:r>
            <w:r w:rsidR="00F86278">
              <w:rPr>
                <w:noProof/>
                <w:webHidden/>
              </w:rPr>
            </w:r>
            <w:r w:rsidR="00F86278">
              <w:rPr>
                <w:noProof/>
                <w:webHidden/>
              </w:rPr>
              <w:fldChar w:fldCharType="separate"/>
            </w:r>
            <w:r>
              <w:rPr>
                <w:noProof/>
                <w:webHidden/>
              </w:rPr>
              <w:t>21</w:t>
            </w:r>
            <w:r w:rsidR="00F86278">
              <w:rPr>
                <w:noProof/>
                <w:webHidden/>
              </w:rPr>
              <w:fldChar w:fldCharType="end"/>
            </w:r>
          </w:hyperlink>
        </w:p>
        <w:p w14:paraId="5C48A515" w14:textId="6E702BAF" w:rsidR="00F86278" w:rsidRDefault="00737C5A">
          <w:pPr>
            <w:pStyle w:val="TOC2"/>
            <w:rPr>
              <w:rFonts w:asciiTheme="minorHAnsi" w:eastAsiaTheme="minorEastAsia" w:hAnsiTheme="minorHAnsi" w:cstheme="minorBidi"/>
              <w:noProof/>
              <w:color w:val="auto"/>
              <w:spacing w:val="0"/>
            </w:rPr>
          </w:pPr>
          <w:hyperlink w:anchor="_Toc90565245" w:history="1">
            <w:r w:rsidR="00F86278" w:rsidRPr="005267CA">
              <w:rPr>
                <w:rStyle w:val="Hyperlink"/>
                <w:noProof/>
              </w:rPr>
              <w:t>5.2 EGI-ACE services in the EOSC and EGI SMSs</w:t>
            </w:r>
            <w:r w:rsidR="00F86278">
              <w:rPr>
                <w:noProof/>
                <w:webHidden/>
              </w:rPr>
              <w:tab/>
            </w:r>
            <w:r w:rsidR="00F86278">
              <w:rPr>
                <w:noProof/>
                <w:webHidden/>
              </w:rPr>
              <w:fldChar w:fldCharType="begin"/>
            </w:r>
            <w:r w:rsidR="00F86278">
              <w:rPr>
                <w:noProof/>
                <w:webHidden/>
              </w:rPr>
              <w:instrText xml:space="preserve"> PAGEREF _Toc90565245 \h </w:instrText>
            </w:r>
            <w:r w:rsidR="00F86278">
              <w:rPr>
                <w:noProof/>
                <w:webHidden/>
              </w:rPr>
            </w:r>
            <w:r w:rsidR="00F86278">
              <w:rPr>
                <w:noProof/>
                <w:webHidden/>
              </w:rPr>
              <w:fldChar w:fldCharType="separate"/>
            </w:r>
            <w:r>
              <w:rPr>
                <w:noProof/>
                <w:webHidden/>
              </w:rPr>
              <w:t>23</w:t>
            </w:r>
            <w:r w:rsidR="00F86278">
              <w:rPr>
                <w:noProof/>
                <w:webHidden/>
              </w:rPr>
              <w:fldChar w:fldCharType="end"/>
            </w:r>
          </w:hyperlink>
        </w:p>
        <w:p w14:paraId="69F2011A" w14:textId="6297BFBB" w:rsidR="00F86278" w:rsidRDefault="00737C5A">
          <w:pPr>
            <w:pStyle w:val="TOC2"/>
            <w:rPr>
              <w:rFonts w:asciiTheme="minorHAnsi" w:eastAsiaTheme="minorEastAsia" w:hAnsiTheme="minorHAnsi" w:cstheme="minorBidi"/>
              <w:noProof/>
              <w:color w:val="auto"/>
              <w:spacing w:val="0"/>
            </w:rPr>
          </w:pPr>
          <w:hyperlink w:anchor="_Toc90565246" w:history="1">
            <w:r w:rsidR="00F86278" w:rsidRPr="005267CA">
              <w:rPr>
                <w:rStyle w:val="Hyperlink"/>
                <w:noProof/>
              </w:rPr>
              <w:t>5.3 Service Delivery Maturity Improvement</w:t>
            </w:r>
            <w:r w:rsidR="00F86278">
              <w:rPr>
                <w:noProof/>
                <w:webHidden/>
              </w:rPr>
              <w:tab/>
            </w:r>
            <w:r w:rsidR="00F86278">
              <w:rPr>
                <w:noProof/>
                <w:webHidden/>
              </w:rPr>
              <w:fldChar w:fldCharType="begin"/>
            </w:r>
            <w:r w:rsidR="00F86278">
              <w:rPr>
                <w:noProof/>
                <w:webHidden/>
              </w:rPr>
              <w:instrText xml:space="preserve"> PAGEREF _Toc90565246 \h </w:instrText>
            </w:r>
            <w:r w:rsidR="00F86278">
              <w:rPr>
                <w:noProof/>
                <w:webHidden/>
              </w:rPr>
            </w:r>
            <w:r w:rsidR="00F86278">
              <w:rPr>
                <w:noProof/>
                <w:webHidden/>
              </w:rPr>
              <w:fldChar w:fldCharType="separate"/>
            </w:r>
            <w:r>
              <w:rPr>
                <w:noProof/>
                <w:webHidden/>
              </w:rPr>
              <w:t>25</w:t>
            </w:r>
            <w:r w:rsidR="00F86278">
              <w:rPr>
                <w:noProof/>
                <w:webHidden/>
              </w:rPr>
              <w:fldChar w:fldCharType="end"/>
            </w:r>
          </w:hyperlink>
        </w:p>
        <w:p w14:paraId="0421208F" w14:textId="00F9E16B" w:rsidR="00F86278" w:rsidRDefault="00737C5A">
          <w:pPr>
            <w:pStyle w:val="TOC1"/>
            <w:rPr>
              <w:rFonts w:asciiTheme="minorHAnsi" w:eastAsiaTheme="minorEastAsia" w:hAnsiTheme="minorHAnsi" w:cstheme="minorBidi"/>
              <w:color w:val="auto"/>
              <w:spacing w:val="0"/>
            </w:rPr>
          </w:pPr>
          <w:hyperlink w:anchor="_Toc90565247" w:history="1">
            <w:r w:rsidR="00F86278" w:rsidRPr="005267CA">
              <w:rPr>
                <w:rStyle w:val="Hyperlink"/>
              </w:rPr>
              <w:t>6. FAIR maturity of the EGI-ACE data spaces</w:t>
            </w:r>
            <w:r w:rsidR="00F86278">
              <w:rPr>
                <w:webHidden/>
              </w:rPr>
              <w:tab/>
            </w:r>
            <w:r w:rsidR="00F86278">
              <w:rPr>
                <w:webHidden/>
              </w:rPr>
              <w:fldChar w:fldCharType="begin"/>
            </w:r>
            <w:r w:rsidR="00F86278">
              <w:rPr>
                <w:webHidden/>
              </w:rPr>
              <w:instrText xml:space="preserve"> PAGEREF _Toc90565247 \h </w:instrText>
            </w:r>
            <w:r w:rsidR="00F86278">
              <w:rPr>
                <w:webHidden/>
              </w:rPr>
            </w:r>
            <w:r w:rsidR="00F86278">
              <w:rPr>
                <w:webHidden/>
              </w:rPr>
              <w:fldChar w:fldCharType="separate"/>
            </w:r>
            <w:r>
              <w:rPr>
                <w:webHidden/>
              </w:rPr>
              <w:t>27</w:t>
            </w:r>
            <w:r w:rsidR="00F86278">
              <w:rPr>
                <w:webHidden/>
              </w:rPr>
              <w:fldChar w:fldCharType="end"/>
            </w:r>
          </w:hyperlink>
        </w:p>
        <w:p w14:paraId="05EAC6D3" w14:textId="56A45E4C" w:rsidR="00F86278" w:rsidRDefault="00737C5A">
          <w:pPr>
            <w:pStyle w:val="TOC2"/>
            <w:rPr>
              <w:rFonts w:asciiTheme="minorHAnsi" w:eastAsiaTheme="minorEastAsia" w:hAnsiTheme="minorHAnsi" w:cstheme="minorBidi"/>
              <w:noProof/>
              <w:color w:val="auto"/>
              <w:spacing w:val="0"/>
            </w:rPr>
          </w:pPr>
          <w:hyperlink w:anchor="_Toc90565248" w:history="1">
            <w:r w:rsidR="00F86278" w:rsidRPr="005267CA">
              <w:rPr>
                <w:rStyle w:val="Hyperlink"/>
                <w:noProof/>
              </w:rPr>
              <w:t>6.1. The approach</w:t>
            </w:r>
            <w:r w:rsidR="00F86278">
              <w:rPr>
                <w:noProof/>
                <w:webHidden/>
              </w:rPr>
              <w:tab/>
            </w:r>
            <w:r w:rsidR="00F86278">
              <w:rPr>
                <w:noProof/>
                <w:webHidden/>
              </w:rPr>
              <w:fldChar w:fldCharType="begin"/>
            </w:r>
            <w:r w:rsidR="00F86278">
              <w:rPr>
                <w:noProof/>
                <w:webHidden/>
              </w:rPr>
              <w:instrText xml:space="preserve"> PAGEREF _Toc90565248 \h </w:instrText>
            </w:r>
            <w:r w:rsidR="00F86278">
              <w:rPr>
                <w:noProof/>
                <w:webHidden/>
              </w:rPr>
            </w:r>
            <w:r w:rsidR="00F86278">
              <w:rPr>
                <w:noProof/>
                <w:webHidden/>
              </w:rPr>
              <w:fldChar w:fldCharType="separate"/>
            </w:r>
            <w:r>
              <w:rPr>
                <w:noProof/>
                <w:webHidden/>
              </w:rPr>
              <w:t>27</w:t>
            </w:r>
            <w:r w:rsidR="00F86278">
              <w:rPr>
                <w:noProof/>
                <w:webHidden/>
              </w:rPr>
              <w:fldChar w:fldCharType="end"/>
            </w:r>
          </w:hyperlink>
        </w:p>
        <w:p w14:paraId="1ADA3AF6" w14:textId="10833C80" w:rsidR="00F86278" w:rsidRDefault="00737C5A">
          <w:pPr>
            <w:pStyle w:val="TOC2"/>
            <w:rPr>
              <w:rFonts w:asciiTheme="minorHAnsi" w:eastAsiaTheme="minorEastAsia" w:hAnsiTheme="minorHAnsi" w:cstheme="minorBidi"/>
              <w:noProof/>
              <w:color w:val="auto"/>
              <w:spacing w:val="0"/>
            </w:rPr>
          </w:pPr>
          <w:hyperlink w:anchor="_Toc90565249" w:history="1">
            <w:r w:rsidR="00F86278" w:rsidRPr="005267CA">
              <w:rPr>
                <w:rStyle w:val="Hyperlink"/>
                <w:noProof/>
              </w:rPr>
              <w:t>6.2. Which data spaces were covered, which were not</w:t>
            </w:r>
            <w:r w:rsidR="00F86278">
              <w:rPr>
                <w:noProof/>
                <w:webHidden/>
              </w:rPr>
              <w:tab/>
            </w:r>
            <w:r w:rsidR="00F86278">
              <w:rPr>
                <w:noProof/>
                <w:webHidden/>
              </w:rPr>
              <w:fldChar w:fldCharType="begin"/>
            </w:r>
            <w:r w:rsidR="00F86278">
              <w:rPr>
                <w:noProof/>
                <w:webHidden/>
              </w:rPr>
              <w:instrText xml:space="preserve"> PAGEREF _Toc90565249 \h </w:instrText>
            </w:r>
            <w:r w:rsidR="00F86278">
              <w:rPr>
                <w:noProof/>
                <w:webHidden/>
              </w:rPr>
            </w:r>
            <w:r w:rsidR="00F86278">
              <w:rPr>
                <w:noProof/>
                <w:webHidden/>
              </w:rPr>
              <w:fldChar w:fldCharType="separate"/>
            </w:r>
            <w:r>
              <w:rPr>
                <w:noProof/>
                <w:webHidden/>
              </w:rPr>
              <w:t>28</w:t>
            </w:r>
            <w:r w:rsidR="00F86278">
              <w:rPr>
                <w:noProof/>
                <w:webHidden/>
              </w:rPr>
              <w:fldChar w:fldCharType="end"/>
            </w:r>
          </w:hyperlink>
        </w:p>
        <w:p w14:paraId="4114AC95" w14:textId="50691725" w:rsidR="00F86278" w:rsidRDefault="00737C5A">
          <w:pPr>
            <w:pStyle w:val="TOC2"/>
            <w:rPr>
              <w:rFonts w:asciiTheme="minorHAnsi" w:eastAsiaTheme="minorEastAsia" w:hAnsiTheme="minorHAnsi" w:cstheme="minorBidi"/>
              <w:noProof/>
              <w:color w:val="auto"/>
              <w:spacing w:val="0"/>
            </w:rPr>
          </w:pPr>
          <w:hyperlink w:anchor="_Toc90565250" w:history="1">
            <w:r w:rsidR="00F86278" w:rsidRPr="005267CA">
              <w:rPr>
                <w:rStyle w:val="Hyperlink"/>
                <w:noProof/>
              </w:rPr>
              <w:t>6.3. Findable</w:t>
            </w:r>
            <w:r w:rsidR="00F86278">
              <w:rPr>
                <w:noProof/>
                <w:webHidden/>
              </w:rPr>
              <w:tab/>
            </w:r>
            <w:r w:rsidR="00F86278">
              <w:rPr>
                <w:noProof/>
                <w:webHidden/>
              </w:rPr>
              <w:fldChar w:fldCharType="begin"/>
            </w:r>
            <w:r w:rsidR="00F86278">
              <w:rPr>
                <w:noProof/>
                <w:webHidden/>
              </w:rPr>
              <w:instrText xml:space="preserve"> PAGEREF _Toc90565250 \h </w:instrText>
            </w:r>
            <w:r w:rsidR="00F86278">
              <w:rPr>
                <w:noProof/>
                <w:webHidden/>
              </w:rPr>
            </w:r>
            <w:r w:rsidR="00F86278">
              <w:rPr>
                <w:noProof/>
                <w:webHidden/>
              </w:rPr>
              <w:fldChar w:fldCharType="separate"/>
            </w:r>
            <w:r>
              <w:rPr>
                <w:noProof/>
                <w:webHidden/>
              </w:rPr>
              <w:t>29</w:t>
            </w:r>
            <w:r w:rsidR="00F86278">
              <w:rPr>
                <w:noProof/>
                <w:webHidden/>
              </w:rPr>
              <w:fldChar w:fldCharType="end"/>
            </w:r>
          </w:hyperlink>
        </w:p>
        <w:p w14:paraId="512DB954" w14:textId="0F8701B5" w:rsidR="00F86278" w:rsidRDefault="00737C5A">
          <w:pPr>
            <w:pStyle w:val="TOC2"/>
            <w:rPr>
              <w:rFonts w:asciiTheme="minorHAnsi" w:eastAsiaTheme="minorEastAsia" w:hAnsiTheme="minorHAnsi" w:cstheme="minorBidi"/>
              <w:noProof/>
              <w:color w:val="auto"/>
              <w:spacing w:val="0"/>
            </w:rPr>
          </w:pPr>
          <w:hyperlink w:anchor="_Toc90565251" w:history="1">
            <w:r w:rsidR="00F86278" w:rsidRPr="005267CA">
              <w:rPr>
                <w:rStyle w:val="Hyperlink"/>
                <w:noProof/>
              </w:rPr>
              <w:t>6.4. Accessible</w:t>
            </w:r>
            <w:r w:rsidR="00F86278">
              <w:rPr>
                <w:noProof/>
                <w:webHidden/>
              </w:rPr>
              <w:tab/>
            </w:r>
            <w:r w:rsidR="00F86278">
              <w:rPr>
                <w:noProof/>
                <w:webHidden/>
              </w:rPr>
              <w:fldChar w:fldCharType="begin"/>
            </w:r>
            <w:r w:rsidR="00F86278">
              <w:rPr>
                <w:noProof/>
                <w:webHidden/>
              </w:rPr>
              <w:instrText xml:space="preserve"> PAGEREF _Toc90565251 \h </w:instrText>
            </w:r>
            <w:r w:rsidR="00F86278">
              <w:rPr>
                <w:noProof/>
                <w:webHidden/>
              </w:rPr>
            </w:r>
            <w:r w:rsidR="00F86278">
              <w:rPr>
                <w:noProof/>
                <w:webHidden/>
              </w:rPr>
              <w:fldChar w:fldCharType="separate"/>
            </w:r>
            <w:r>
              <w:rPr>
                <w:noProof/>
                <w:webHidden/>
              </w:rPr>
              <w:t>30</w:t>
            </w:r>
            <w:r w:rsidR="00F86278">
              <w:rPr>
                <w:noProof/>
                <w:webHidden/>
              </w:rPr>
              <w:fldChar w:fldCharType="end"/>
            </w:r>
          </w:hyperlink>
        </w:p>
        <w:p w14:paraId="622BA641" w14:textId="7F4585F6" w:rsidR="00F86278" w:rsidRDefault="00737C5A">
          <w:pPr>
            <w:pStyle w:val="TOC2"/>
            <w:rPr>
              <w:rFonts w:asciiTheme="minorHAnsi" w:eastAsiaTheme="minorEastAsia" w:hAnsiTheme="minorHAnsi" w:cstheme="minorBidi"/>
              <w:noProof/>
              <w:color w:val="auto"/>
              <w:spacing w:val="0"/>
            </w:rPr>
          </w:pPr>
          <w:hyperlink w:anchor="_Toc90565252" w:history="1">
            <w:r w:rsidR="00F86278" w:rsidRPr="005267CA">
              <w:rPr>
                <w:rStyle w:val="Hyperlink"/>
                <w:noProof/>
              </w:rPr>
              <w:t>6.5. Interoperable</w:t>
            </w:r>
            <w:r w:rsidR="00F86278">
              <w:rPr>
                <w:noProof/>
                <w:webHidden/>
              </w:rPr>
              <w:tab/>
            </w:r>
            <w:r w:rsidR="00F86278">
              <w:rPr>
                <w:noProof/>
                <w:webHidden/>
              </w:rPr>
              <w:fldChar w:fldCharType="begin"/>
            </w:r>
            <w:r w:rsidR="00F86278">
              <w:rPr>
                <w:noProof/>
                <w:webHidden/>
              </w:rPr>
              <w:instrText xml:space="preserve"> PAGEREF _Toc90565252 \h </w:instrText>
            </w:r>
            <w:r w:rsidR="00F86278">
              <w:rPr>
                <w:noProof/>
                <w:webHidden/>
              </w:rPr>
            </w:r>
            <w:r w:rsidR="00F86278">
              <w:rPr>
                <w:noProof/>
                <w:webHidden/>
              </w:rPr>
              <w:fldChar w:fldCharType="separate"/>
            </w:r>
            <w:r>
              <w:rPr>
                <w:noProof/>
                <w:webHidden/>
              </w:rPr>
              <w:t>32</w:t>
            </w:r>
            <w:r w:rsidR="00F86278">
              <w:rPr>
                <w:noProof/>
                <w:webHidden/>
              </w:rPr>
              <w:fldChar w:fldCharType="end"/>
            </w:r>
          </w:hyperlink>
        </w:p>
        <w:p w14:paraId="3F95E42E" w14:textId="5F58A2D6" w:rsidR="00F86278" w:rsidRDefault="00737C5A">
          <w:pPr>
            <w:pStyle w:val="TOC2"/>
            <w:rPr>
              <w:rFonts w:asciiTheme="minorHAnsi" w:eastAsiaTheme="minorEastAsia" w:hAnsiTheme="minorHAnsi" w:cstheme="minorBidi"/>
              <w:noProof/>
              <w:color w:val="auto"/>
              <w:spacing w:val="0"/>
            </w:rPr>
          </w:pPr>
          <w:hyperlink w:anchor="_Toc90565253" w:history="1">
            <w:r w:rsidR="00F86278" w:rsidRPr="005267CA">
              <w:rPr>
                <w:rStyle w:val="Hyperlink"/>
                <w:noProof/>
              </w:rPr>
              <w:t>6.6. Reusable</w:t>
            </w:r>
            <w:r w:rsidR="00F86278">
              <w:rPr>
                <w:noProof/>
                <w:webHidden/>
              </w:rPr>
              <w:tab/>
            </w:r>
            <w:r w:rsidR="00F86278">
              <w:rPr>
                <w:noProof/>
                <w:webHidden/>
              </w:rPr>
              <w:fldChar w:fldCharType="begin"/>
            </w:r>
            <w:r w:rsidR="00F86278">
              <w:rPr>
                <w:noProof/>
                <w:webHidden/>
              </w:rPr>
              <w:instrText xml:space="preserve"> PAGEREF _Toc90565253 \h </w:instrText>
            </w:r>
            <w:r w:rsidR="00F86278">
              <w:rPr>
                <w:noProof/>
                <w:webHidden/>
              </w:rPr>
            </w:r>
            <w:r w:rsidR="00F86278">
              <w:rPr>
                <w:noProof/>
                <w:webHidden/>
              </w:rPr>
              <w:fldChar w:fldCharType="separate"/>
            </w:r>
            <w:r>
              <w:rPr>
                <w:noProof/>
                <w:webHidden/>
              </w:rPr>
              <w:t>33</w:t>
            </w:r>
            <w:r w:rsidR="00F86278">
              <w:rPr>
                <w:noProof/>
                <w:webHidden/>
              </w:rPr>
              <w:fldChar w:fldCharType="end"/>
            </w:r>
          </w:hyperlink>
        </w:p>
        <w:p w14:paraId="745F8702" w14:textId="50D807AB" w:rsidR="00F86278" w:rsidRDefault="00737C5A">
          <w:pPr>
            <w:pStyle w:val="TOC2"/>
            <w:rPr>
              <w:rFonts w:asciiTheme="minorHAnsi" w:eastAsiaTheme="minorEastAsia" w:hAnsiTheme="minorHAnsi" w:cstheme="minorBidi"/>
              <w:noProof/>
              <w:color w:val="auto"/>
              <w:spacing w:val="0"/>
            </w:rPr>
          </w:pPr>
          <w:hyperlink w:anchor="_Toc90565254" w:history="1">
            <w:r w:rsidR="00F86278" w:rsidRPr="005267CA">
              <w:rPr>
                <w:rStyle w:val="Hyperlink"/>
                <w:noProof/>
              </w:rPr>
              <w:t>6.7. Overall findings</w:t>
            </w:r>
            <w:r w:rsidR="00F86278">
              <w:rPr>
                <w:noProof/>
                <w:webHidden/>
              </w:rPr>
              <w:tab/>
            </w:r>
            <w:r w:rsidR="00F86278">
              <w:rPr>
                <w:noProof/>
                <w:webHidden/>
              </w:rPr>
              <w:fldChar w:fldCharType="begin"/>
            </w:r>
            <w:r w:rsidR="00F86278">
              <w:rPr>
                <w:noProof/>
                <w:webHidden/>
              </w:rPr>
              <w:instrText xml:space="preserve"> PAGEREF _Toc90565254 \h </w:instrText>
            </w:r>
            <w:r w:rsidR="00F86278">
              <w:rPr>
                <w:noProof/>
                <w:webHidden/>
              </w:rPr>
            </w:r>
            <w:r w:rsidR="00F86278">
              <w:rPr>
                <w:noProof/>
                <w:webHidden/>
              </w:rPr>
              <w:fldChar w:fldCharType="separate"/>
            </w:r>
            <w:r>
              <w:rPr>
                <w:noProof/>
                <w:webHidden/>
              </w:rPr>
              <w:t>34</w:t>
            </w:r>
            <w:r w:rsidR="00F86278">
              <w:rPr>
                <w:noProof/>
                <w:webHidden/>
              </w:rPr>
              <w:fldChar w:fldCharType="end"/>
            </w:r>
          </w:hyperlink>
        </w:p>
        <w:p w14:paraId="0FCB50D0" w14:textId="6054273B" w:rsidR="00F86278" w:rsidRDefault="00737C5A">
          <w:pPr>
            <w:pStyle w:val="TOC1"/>
            <w:rPr>
              <w:rFonts w:asciiTheme="minorHAnsi" w:eastAsiaTheme="minorEastAsia" w:hAnsiTheme="minorHAnsi" w:cstheme="minorBidi"/>
              <w:color w:val="auto"/>
              <w:spacing w:val="0"/>
            </w:rPr>
          </w:pPr>
          <w:hyperlink w:anchor="_Toc90565255" w:history="1">
            <w:r w:rsidR="00F86278" w:rsidRPr="005267CA">
              <w:rPr>
                <w:rStyle w:val="Hyperlink"/>
              </w:rPr>
              <w:t>7. Conclusions</w:t>
            </w:r>
            <w:r w:rsidR="00F86278">
              <w:rPr>
                <w:webHidden/>
              </w:rPr>
              <w:tab/>
            </w:r>
            <w:r w:rsidR="00F86278">
              <w:rPr>
                <w:webHidden/>
              </w:rPr>
              <w:fldChar w:fldCharType="begin"/>
            </w:r>
            <w:r w:rsidR="00F86278">
              <w:rPr>
                <w:webHidden/>
              </w:rPr>
              <w:instrText xml:space="preserve"> PAGEREF _Toc90565255 \h </w:instrText>
            </w:r>
            <w:r w:rsidR="00F86278">
              <w:rPr>
                <w:webHidden/>
              </w:rPr>
            </w:r>
            <w:r w:rsidR="00F86278">
              <w:rPr>
                <w:webHidden/>
              </w:rPr>
              <w:fldChar w:fldCharType="separate"/>
            </w:r>
            <w:r>
              <w:rPr>
                <w:webHidden/>
              </w:rPr>
              <w:t>37</w:t>
            </w:r>
            <w:r w:rsidR="00F86278">
              <w:rPr>
                <w:webHidden/>
              </w:rPr>
              <w:fldChar w:fldCharType="end"/>
            </w:r>
          </w:hyperlink>
        </w:p>
        <w:p w14:paraId="05E8036C" w14:textId="0B3DE001" w:rsidR="00F86278" w:rsidRDefault="00737C5A">
          <w:pPr>
            <w:pStyle w:val="TOC1"/>
            <w:rPr>
              <w:rFonts w:asciiTheme="minorHAnsi" w:eastAsiaTheme="minorEastAsia" w:hAnsiTheme="minorHAnsi" w:cstheme="minorBidi"/>
              <w:color w:val="auto"/>
              <w:spacing w:val="0"/>
            </w:rPr>
          </w:pPr>
          <w:hyperlink w:anchor="_Toc90565256" w:history="1">
            <w:r w:rsidR="00F86278" w:rsidRPr="005267CA">
              <w:rPr>
                <w:rStyle w:val="Hyperlink"/>
              </w:rPr>
              <w:t>Appendix 1 - FAIR maturity assessment sheet</w:t>
            </w:r>
            <w:r w:rsidR="00F86278">
              <w:rPr>
                <w:webHidden/>
              </w:rPr>
              <w:tab/>
            </w:r>
            <w:r w:rsidR="00F86278">
              <w:rPr>
                <w:webHidden/>
              </w:rPr>
              <w:fldChar w:fldCharType="begin"/>
            </w:r>
            <w:r w:rsidR="00F86278">
              <w:rPr>
                <w:webHidden/>
              </w:rPr>
              <w:instrText xml:space="preserve"> PAGEREF _Toc90565256 \h </w:instrText>
            </w:r>
            <w:r w:rsidR="00F86278">
              <w:rPr>
                <w:webHidden/>
              </w:rPr>
            </w:r>
            <w:r w:rsidR="00F86278">
              <w:rPr>
                <w:webHidden/>
              </w:rPr>
              <w:fldChar w:fldCharType="separate"/>
            </w:r>
            <w:r>
              <w:rPr>
                <w:webHidden/>
              </w:rPr>
              <w:t>38</w:t>
            </w:r>
            <w:r w:rsidR="00F86278">
              <w:rPr>
                <w:webHidden/>
              </w:rPr>
              <w:fldChar w:fldCharType="end"/>
            </w:r>
          </w:hyperlink>
        </w:p>
        <w:p w14:paraId="30D80121" w14:textId="786A65A1" w:rsidR="00F86278" w:rsidRDefault="00737C5A">
          <w:pPr>
            <w:pStyle w:val="TOC1"/>
            <w:rPr>
              <w:rFonts w:asciiTheme="minorHAnsi" w:eastAsiaTheme="minorEastAsia" w:hAnsiTheme="minorHAnsi" w:cstheme="minorBidi"/>
              <w:color w:val="auto"/>
              <w:spacing w:val="0"/>
            </w:rPr>
          </w:pPr>
          <w:hyperlink w:anchor="_Toc90565257" w:history="1">
            <w:r w:rsidR="00F86278" w:rsidRPr="005267CA">
              <w:rPr>
                <w:rStyle w:val="Hyperlink"/>
              </w:rPr>
              <w:t>Appendix 2 - FAIR maturity assessment responses</w:t>
            </w:r>
            <w:r w:rsidR="00F86278">
              <w:rPr>
                <w:webHidden/>
              </w:rPr>
              <w:tab/>
            </w:r>
            <w:r w:rsidR="00F86278">
              <w:rPr>
                <w:webHidden/>
              </w:rPr>
              <w:fldChar w:fldCharType="begin"/>
            </w:r>
            <w:r w:rsidR="00F86278">
              <w:rPr>
                <w:webHidden/>
              </w:rPr>
              <w:instrText xml:space="preserve"> PAGEREF _Toc90565257 \h </w:instrText>
            </w:r>
            <w:r w:rsidR="00F86278">
              <w:rPr>
                <w:webHidden/>
              </w:rPr>
            </w:r>
            <w:r w:rsidR="00F86278">
              <w:rPr>
                <w:webHidden/>
              </w:rPr>
              <w:fldChar w:fldCharType="separate"/>
            </w:r>
            <w:r>
              <w:rPr>
                <w:webHidden/>
              </w:rPr>
              <w:t>49</w:t>
            </w:r>
            <w:r w:rsidR="00F86278">
              <w:rPr>
                <w:webHidden/>
              </w:rPr>
              <w:fldChar w:fldCharType="end"/>
            </w:r>
          </w:hyperlink>
        </w:p>
        <w:p w14:paraId="3077EEC9" w14:textId="69B01FFC" w:rsidR="00BC388A" w:rsidRDefault="00140473">
          <w:pPr>
            <w:tabs>
              <w:tab w:val="right" w:pos="9025"/>
            </w:tabs>
            <w:spacing w:before="200" w:after="80" w:line="240" w:lineRule="auto"/>
            <w:rPr>
              <w:b/>
              <w:color w:val="000000"/>
            </w:rPr>
          </w:pPr>
          <w:r>
            <w:fldChar w:fldCharType="end"/>
          </w:r>
        </w:p>
      </w:sdtContent>
    </w:sdt>
    <w:p w14:paraId="04105E3A" w14:textId="77777777" w:rsidR="00BC388A" w:rsidRDefault="00BC388A"/>
    <w:p w14:paraId="02FB9C4F" w14:textId="77777777" w:rsidR="00BC388A" w:rsidRDefault="00BC388A">
      <w:pPr>
        <w:rPr>
          <w:highlight w:val="magenta"/>
        </w:rPr>
      </w:pPr>
    </w:p>
    <w:p w14:paraId="09A82FE2" w14:textId="77777777" w:rsidR="00BC388A" w:rsidRDefault="00BC388A"/>
    <w:p w14:paraId="1441B8E3" w14:textId="77777777" w:rsidR="00BC388A" w:rsidRDefault="00BC388A"/>
    <w:p w14:paraId="385EA762" w14:textId="77777777" w:rsidR="00BC388A" w:rsidRDefault="00BC388A">
      <w:pPr>
        <w:rPr>
          <w:color w:val="000000"/>
        </w:rPr>
      </w:pPr>
    </w:p>
    <w:p w14:paraId="22483DC5" w14:textId="77777777" w:rsidR="00BC388A" w:rsidRDefault="00140473">
      <w:pPr>
        <w:pBdr>
          <w:top w:val="nil"/>
          <w:left w:val="nil"/>
          <w:bottom w:val="nil"/>
          <w:right w:val="nil"/>
          <w:between w:val="nil"/>
        </w:pBdr>
        <w:spacing w:before="480"/>
        <w:ind w:left="720" w:hanging="720"/>
        <w:rPr>
          <w:b/>
          <w:color w:val="F07E19"/>
          <w:sz w:val="40"/>
          <w:szCs w:val="40"/>
        </w:rPr>
      </w:pPr>
      <w:bookmarkStart w:id="0" w:name="_heading=h.gjdgxs" w:colFirst="0" w:colLast="0"/>
      <w:bookmarkEnd w:id="0"/>
      <w:r>
        <w:br w:type="page"/>
      </w:r>
      <w:r>
        <w:rPr>
          <w:b/>
          <w:color w:val="F07E19"/>
          <w:sz w:val="40"/>
          <w:szCs w:val="40"/>
        </w:rPr>
        <w:lastRenderedPageBreak/>
        <w:t xml:space="preserve">Executive summary  </w:t>
      </w:r>
    </w:p>
    <w:p w14:paraId="48768495" w14:textId="77777777" w:rsidR="00BC388A" w:rsidRDefault="00140473">
      <w:r>
        <w:t>EGI-ACE is a 30-month project (Jan 2021 - June 2023) with a mission to empower researchers from all disciplines to collaborate in data- and compute-intensive research through free-at-point-of-use services.</w:t>
      </w:r>
    </w:p>
    <w:p w14:paraId="05C9360D" w14:textId="77777777" w:rsidR="00BC388A" w:rsidRDefault="00140473">
      <w:r>
        <w:t>EGI-ACE delivers the ‘EOSC Compute Platform’, an integrated compute environment that federates compute and storage facilities with various platforms and access layers. The project also contributes to the EOSC Data Commons through the setup and provisioning of ‘Data Spaces’ that integrate scientific datasets and data analytics tools on top of the Compute Platform and deliver them as ‘Thematic services’ in EOSC.</w:t>
      </w:r>
    </w:p>
    <w:p w14:paraId="132B561C" w14:textId="77777777" w:rsidR="00BC388A" w:rsidRDefault="00140473">
      <w:r>
        <w:t xml:space="preserve">EGI-ACE services are made available for users via the EOSC Portal and Marketplaces. High level of usability and quality required the project to integrate services, to align service capabilities and management processes with those required by EOSC. This deliverable reports on these integration and alignment activities. The overall collaboration with EOSC is covered in the multilateral ‘Collaboration Agreement that EGI-ACE signed with the other projects of the INFRAEOSC-07 call, and with the EOSC Future project (INFRAEOSC-03). This deliverable focuses on the service integration, covering the following details: </w:t>
      </w:r>
    </w:p>
    <w:p w14:paraId="00932B4B" w14:textId="77777777" w:rsidR="00BC388A" w:rsidRDefault="00140473">
      <w:pPr>
        <w:numPr>
          <w:ilvl w:val="0"/>
          <w:numId w:val="9"/>
        </w:numPr>
        <w:spacing w:after="0"/>
      </w:pPr>
      <w:r>
        <w:t>Onboarding - Making EGI-ACE services available for access in EOSC: The project already made available and delivers 30 services via the EOSC Portal. 2 more generic services (AppDB, Binder), and 5 thematic services (</w:t>
      </w:r>
      <w:proofErr w:type="spellStart"/>
      <w:r>
        <w:t>OpenRiskNet</w:t>
      </w:r>
      <w:proofErr w:type="spellEnd"/>
      <w:r>
        <w:t>/</w:t>
      </w:r>
      <w:proofErr w:type="spellStart"/>
      <w:r>
        <w:t>NanoCommons</w:t>
      </w:r>
      <w:proofErr w:type="spellEnd"/>
      <w:r>
        <w:t xml:space="preserve">, PROMINENCE, LOFAR Science Products, </w:t>
      </w:r>
      <w:proofErr w:type="spellStart"/>
      <w:r>
        <w:t>SeaDataNet</w:t>
      </w:r>
      <w:proofErr w:type="spellEnd"/>
      <w:r>
        <w:t xml:space="preserve"> and GBIF Cloud data space) are planned for onboarding in the next months. </w:t>
      </w:r>
    </w:p>
    <w:p w14:paraId="28F09BC9" w14:textId="7947AD95" w:rsidR="00BC388A" w:rsidRDefault="00140473">
      <w:pPr>
        <w:numPr>
          <w:ilvl w:val="0"/>
          <w:numId w:val="9"/>
        </w:numPr>
        <w:spacing w:after="0"/>
      </w:pPr>
      <w:r>
        <w:t xml:space="preserve">Technical integration - Making EGI-ACE services compatible with the EOSC Core and Exchange: EOSC does not have an Interoperability Framework yet. EGI-ACE is actively contributing to the establishment of the framework, providing requirements and feedback to the interoperability guidelines for EOSC Core, with a focus on the interfaces for interconnecting the EOSC Compute platform to the Core platform. In the </w:t>
      </w:r>
      <w:r w:rsidR="00567C6D">
        <w:t>meantime,</w:t>
      </w:r>
      <w:r>
        <w:t xml:space="preserve"> EGI-ACE established compatibility with services of some of the other INFRAEOSC-07 projects (DICE, C-SCALE, OpenAIRE-Nexus). When the interoperability guidelines for the EOSC Core reaches an adequate level of maturity, EGI-ACE will make its Compute platform compliant with it.</w:t>
      </w:r>
    </w:p>
    <w:p w14:paraId="3195490F" w14:textId="77777777" w:rsidR="00BC388A" w:rsidRDefault="00140473">
      <w:pPr>
        <w:numPr>
          <w:ilvl w:val="0"/>
          <w:numId w:val="9"/>
        </w:numPr>
        <w:spacing w:after="0"/>
      </w:pPr>
      <w:r>
        <w:t xml:space="preserve">Service Management System (SMS) - Ensuring that the services are managed according to the EOSC expectations: All the onboarded EGI-ACE services meet the EOSC requirements for delivery, and most of them are operated according to ISO2000 IT Service Management standard of the EGI Foundation SMS. In 2022 the project will introduce the generic and thematic EGI-ACE services into a service management system that is coherent with the existing EGI Foundation SMS. D7.2 in March 2022 will provide a separate document about the SMS of the project. </w:t>
      </w:r>
    </w:p>
    <w:p w14:paraId="47209E07" w14:textId="77777777" w:rsidR="00BC388A" w:rsidRDefault="00140473">
      <w:pPr>
        <w:numPr>
          <w:ilvl w:val="0"/>
          <w:numId w:val="9"/>
        </w:numPr>
      </w:pPr>
      <w:proofErr w:type="spellStart"/>
      <w:r>
        <w:t>FAIRness</w:t>
      </w:r>
      <w:proofErr w:type="spellEnd"/>
      <w:r>
        <w:t xml:space="preserve"> - Ensuring that the EGI-ACE data space services provide Findable, Accessible, Interoperable, Reusable research results. We carried out a self-assessment using the ‘FAIR Data Maturity Model’ from the RDA FAIR Data Maturity Model Working Group. The findings revealed that compliance is quite high in the </w:t>
      </w:r>
      <w:proofErr w:type="spellStart"/>
      <w:r>
        <w:t>Findabile</w:t>
      </w:r>
      <w:proofErr w:type="spellEnd"/>
      <w:r>
        <w:t xml:space="preserve">, Accessible and Reusable areas. The project should harvest this value through demonstrators and articles. The study also revealed that four of the data </w:t>
      </w:r>
      <w:r>
        <w:lastRenderedPageBreak/>
        <w:t>spaces (</w:t>
      </w:r>
      <w:proofErr w:type="spellStart"/>
      <w:r>
        <w:t>WeNMR</w:t>
      </w:r>
      <w:proofErr w:type="spellEnd"/>
      <w:r>
        <w:t xml:space="preserve">, </w:t>
      </w:r>
      <w:proofErr w:type="spellStart"/>
      <w:r>
        <w:t>OPENCoastS</w:t>
      </w:r>
      <w:proofErr w:type="spellEnd"/>
      <w:r>
        <w:t xml:space="preserve">, PROMINENCE and VIP) are computational platforms that do not store and manage data for users. It is advised that these are distinguished from the rest of the data spaces in future communication and dissemination activities. </w:t>
      </w:r>
    </w:p>
    <w:p w14:paraId="495B3F02" w14:textId="77777777" w:rsidR="00BC388A" w:rsidRDefault="00140473">
      <w:r>
        <w:t xml:space="preserve">Based on the findings of this report the project will continue with integration and alignment activities in 2022, with the Conclusion section providing the list of actions for each of the 4 areas. </w:t>
      </w:r>
    </w:p>
    <w:p w14:paraId="4C8D0465" w14:textId="77777777" w:rsidR="00BC388A" w:rsidRDefault="00140473">
      <w:r>
        <w:t>An updated version of this deliverable (D2.8), with the same title will be produced in 12 months from now, in December 2022.</w:t>
      </w:r>
    </w:p>
    <w:p w14:paraId="58EE7A45" w14:textId="77777777" w:rsidR="00BC388A" w:rsidRDefault="00BC388A"/>
    <w:p w14:paraId="4FD59244" w14:textId="77777777" w:rsidR="00BC388A" w:rsidRDefault="00BC388A"/>
    <w:p w14:paraId="4F591571" w14:textId="77777777" w:rsidR="00BC388A" w:rsidRDefault="00140473">
      <w:r>
        <w:br w:type="page"/>
      </w:r>
    </w:p>
    <w:p w14:paraId="2798689E" w14:textId="77777777" w:rsidR="00BC388A" w:rsidRDefault="00140473" w:rsidP="00567C6D">
      <w:pPr>
        <w:pStyle w:val="Heading1"/>
        <w:numPr>
          <w:ilvl w:val="0"/>
          <w:numId w:val="0"/>
        </w:numPr>
      </w:pPr>
      <w:bookmarkStart w:id="1" w:name="_Toc90565234"/>
      <w:r>
        <w:lastRenderedPageBreak/>
        <w:t>1. Introduction</w:t>
      </w:r>
      <w:bookmarkEnd w:id="1"/>
    </w:p>
    <w:p w14:paraId="1CF243B3" w14:textId="77777777" w:rsidR="00BC388A" w:rsidRDefault="00140473">
      <w:r>
        <w:t>EGI-ACE is a 30-month project (Jan 2021 - June 2023) with a mission to empower researchers from all disciplines to collaborate in data- and compute-intensive research through free-at-point-of-use services.</w:t>
      </w:r>
    </w:p>
    <w:p w14:paraId="151BFCC0" w14:textId="77777777" w:rsidR="00BC388A" w:rsidRDefault="00140473">
      <w:r>
        <w:t xml:space="preserve">EGI-ACE delivers two main results: </w:t>
      </w:r>
    </w:p>
    <w:p w14:paraId="6DBC199B" w14:textId="77777777" w:rsidR="00BC388A" w:rsidRDefault="00140473">
      <w:pPr>
        <w:numPr>
          <w:ilvl w:val="0"/>
          <w:numId w:val="19"/>
        </w:numPr>
        <w:spacing w:after="0"/>
      </w:pPr>
      <w:r>
        <w:t xml:space="preserve">the ‘EOSC Compute Platform’, an integrated compute environment that federates compute and storage facilities with various platforms and access layers. </w:t>
      </w:r>
    </w:p>
    <w:p w14:paraId="642F3090" w14:textId="77777777" w:rsidR="00BC388A" w:rsidRDefault="00140473">
      <w:pPr>
        <w:numPr>
          <w:ilvl w:val="0"/>
          <w:numId w:val="19"/>
        </w:numPr>
      </w:pPr>
      <w:r>
        <w:t>contributions to the EOSC Data Commons through the setup and provisioning of ‘Data Spaces’. Data spaces integrate scientific datasets and data analytics tools on top of the Compute Platform and deliver them as ‘Thematic services’ in EOSC.</w:t>
      </w:r>
    </w:p>
    <w:p w14:paraId="0166FBD4" w14:textId="77777777" w:rsidR="00BC388A" w:rsidRDefault="00140473">
      <w:r>
        <w:t>EGI-ACE is run by the EGI community, an international collaboration that federates the digital capabilities, resources and expertise of hundreds  of national and international research communities in Europe and worldwide. With EGI-ACE the EGI Federation and research communities of pan-European relevance are joining efforts to deliver a distributed  federated infrastructure that responds to the present and future needs of data-centric scientific computing in Europe through the EOSC.</w:t>
      </w:r>
    </w:p>
    <w:p w14:paraId="66D79CA0" w14:textId="77777777" w:rsidR="00BC388A" w:rsidRDefault="00140473">
      <w:r>
        <w:t>The project was designed with the following main objectives:</w:t>
      </w:r>
    </w:p>
    <w:p w14:paraId="78A09132" w14:textId="77777777" w:rsidR="00BC388A" w:rsidRDefault="00140473">
      <w:pPr>
        <w:numPr>
          <w:ilvl w:val="0"/>
          <w:numId w:val="20"/>
        </w:numPr>
        <w:spacing w:after="0"/>
        <w:rPr>
          <w:color w:val="000000"/>
        </w:rPr>
      </w:pPr>
      <w:r>
        <w:t>Deliver the European Open Science Cloud Compute Platform and expand the supply-side.</w:t>
      </w:r>
    </w:p>
    <w:p w14:paraId="42EF261F" w14:textId="77777777" w:rsidR="00BC388A" w:rsidRDefault="00140473">
      <w:pPr>
        <w:numPr>
          <w:ilvl w:val="0"/>
          <w:numId w:val="20"/>
        </w:numPr>
        <w:spacing w:after="0"/>
        <w:rPr>
          <w:color w:val="000000"/>
        </w:rPr>
      </w:pPr>
      <w:r>
        <w:t>Contribute to the implementation of the EU Data Strategy</w:t>
      </w:r>
      <w:r>
        <w:rPr>
          <w:vertAlign w:val="superscript"/>
        </w:rPr>
        <w:footnoteReference w:id="1"/>
      </w:r>
      <w:r>
        <w:t xml:space="preserve"> and particularly its EOSC Data Commons to support the Green Deal, Health, Fundamental Research and Social Sciences and Humanities.</w:t>
      </w:r>
    </w:p>
    <w:p w14:paraId="6B964FF2" w14:textId="77777777" w:rsidR="00BC388A" w:rsidRDefault="00140473">
      <w:pPr>
        <w:numPr>
          <w:ilvl w:val="0"/>
          <w:numId w:val="20"/>
        </w:numPr>
        <w:spacing w:after="0"/>
        <w:rPr>
          <w:color w:val="000000"/>
        </w:rPr>
      </w:pPr>
      <w:r>
        <w:t>Integrate the EOSC Compute Platform with the EOSC Portal and the EOSC Core.</w:t>
      </w:r>
    </w:p>
    <w:p w14:paraId="0085EB35" w14:textId="77777777" w:rsidR="00BC388A" w:rsidRDefault="00140473">
      <w:pPr>
        <w:numPr>
          <w:ilvl w:val="0"/>
          <w:numId w:val="20"/>
        </w:numPr>
        <w:spacing w:after="0"/>
        <w:rPr>
          <w:color w:val="000000"/>
        </w:rPr>
      </w:pPr>
      <w:r>
        <w:t>Contribute to the realization of a global Open Science Cloud.</w:t>
      </w:r>
    </w:p>
    <w:p w14:paraId="2C9D0022" w14:textId="77777777" w:rsidR="00BC388A" w:rsidRDefault="00140473">
      <w:pPr>
        <w:numPr>
          <w:ilvl w:val="0"/>
          <w:numId w:val="20"/>
        </w:numPr>
        <w:rPr>
          <w:color w:val="000000"/>
        </w:rPr>
      </w:pPr>
      <w:r>
        <w:t>Expand the demand-side of EOSC across sectors and disciplines.</w:t>
      </w:r>
    </w:p>
    <w:p w14:paraId="1E1AF4D1" w14:textId="7EDF8C74" w:rsidR="00BC388A" w:rsidRDefault="00140473">
      <w:r>
        <w:t xml:space="preserve">After 12 months of operation </w:t>
      </w:r>
      <w:r w:rsidR="00567C6D">
        <w:t>these deliverable reports</w:t>
      </w:r>
      <w:r>
        <w:t xml:space="preserve"> about the integration and alignment work that the project carried out to federate and deliver services in EOSC through the EOSC Portal. The overall collaboration with EOSC is covered in the multilateral Collaboration Agreement that EGI-ACE signed with the other projects of the INFRAEOSC-07 call, and with the EOSC Future project</w:t>
      </w:r>
      <w:r>
        <w:rPr>
          <w:vertAlign w:val="superscript"/>
        </w:rPr>
        <w:footnoteReference w:id="2"/>
      </w:r>
      <w:r>
        <w:t xml:space="preserve"> (INFRAEOSC-03). The collaboration agreement covers the following joint activity areas:</w:t>
      </w:r>
    </w:p>
    <w:p w14:paraId="0B2EBA74" w14:textId="77777777" w:rsidR="00BC388A" w:rsidRDefault="00140473">
      <w:pPr>
        <w:ind w:left="1440"/>
      </w:pPr>
      <w:r>
        <w:t xml:space="preserve">Activity 1 Technical Activities: </w:t>
      </w:r>
    </w:p>
    <w:p w14:paraId="1AB398AC" w14:textId="77777777" w:rsidR="00BC388A" w:rsidRDefault="00140473">
      <w:pPr>
        <w:numPr>
          <w:ilvl w:val="0"/>
          <w:numId w:val="5"/>
        </w:numPr>
        <w:spacing w:after="0"/>
        <w:ind w:left="2880"/>
      </w:pPr>
      <w:r>
        <w:t>Resource Onboarding</w:t>
      </w:r>
    </w:p>
    <w:p w14:paraId="76F4B3DE" w14:textId="77777777" w:rsidR="00BC388A" w:rsidRDefault="00140473">
      <w:pPr>
        <w:numPr>
          <w:ilvl w:val="0"/>
          <w:numId w:val="5"/>
        </w:numPr>
        <w:spacing w:after="0"/>
        <w:ind w:left="2880"/>
      </w:pPr>
      <w:r>
        <w:t>Architecture &amp; Technical Interoperability</w:t>
      </w:r>
    </w:p>
    <w:p w14:paraId="24A548BE" w14:textId="77777777" w:rsidR="00BC388A" w:rsidRDefault="00140473">
      <w:pPr>
        <w:numPr>
          <w:ilvl w:val="0"/>
          <w:numId w:val="5"/>
        </w:numPr>
        <w:ind w:left="2880"/>
      </w:pPr>
      <w:r>
        <w:t>Resource Provisioning and Technical Support</w:t>
      </w:r>
    </w:p>
    <w:p w14:paraId="73E47145" w14:textId="77777777" w:rsidR="00BC388A" w:rsidRDefault="00140473">
      <w:pPr>
        <w:ind w:left="1440"/>
      </w:pPr>
      <w:r>
        <w:t xml:space="preserve">Activity 2 Uptake: </w:t>
      </w:r>
    </w:p>
    <w:p w14:paraId="1DDA5283" w14:textId="77777777" w:rsidR="00BC388A" w:rsidRDefault="00140473">
      <w:pPr>
        <w:numPr>
          <w:ilvl w:val="0"/>
          <w:numId w:val="10"/>
        </w:numPr>
        <w:spacing w:after="0"/>
        <w:ind w:left="2880"/>
      </w:pPr>
      <w:r>
        <w:t>Promotional activities</w:t>
      </w:r>
    </w:p>
    <w:p w14:paraId="5B9C3B89" w14:textId="77777777" w:rsidR="00BC388A" w:rsidRDefault="00140473">
      <w:pPr>
        <w:numPr>
          <w:ilvl w:val="0"/>
          <w:numId w:val="10"/>
        </w:numPr>
        <w:spacing w:after="0"/>
        <w:ind w:left="2880"/>
      </w:pPr>
      <w:r>
        <w:lastRenderedPageBreak/>
        <w:t>Joint engagement activities through events</w:t>
      </w:r>
    </w:p>
    <w:p w14:paraId="13A4EFB5" w14:textId="77777777" w:rsidR="00BC388A" w:rsidRDefault="00140473">
      <w:pPr>
        <w:numPr>
          <w:ilvl w:val="0"/>
          <w:numId w:val="10"/>
        </w:numPr>
        <w:ind w:left="2880"/>
      </w:pPr>
      <w:r>
        <w:t>Joint EOSC Training activities</w:t>
      </w:r>
    </w:p>
    <w:p w14:paraId="398CACAD" w14:textId="77777777" w:rsidR="00BC388A" w:rsidRDefault="00140473">
      <w:r>
        <w:t>This document is focused on the Technical Activities, and starts with an introduction of the EGI-ACE service portfolio and support for thematic spaces (Section 2), then covers the different technical integration activities that exist between EGI-ACE and the EOSC Core:</w:t>
      </w:r>
    </w:p>
    <w:p w14:paraId="64C92BFB" w14:textId="77777777" w:rsidR="00BC388A" w:rsidRDefault="00140473">
      <w:pPr>
        <w:numPr>
          <w:ilvl w:val="0"/>
          <w:numId w:val="18"/>
        </w:numPr>
        <w:spacing w:after="0"/>
      </w:pPr>
      <w:r>
        <w:t>Service portfolio integration (Section 3)</w:t>
      </w:r>
    </w:p>
    <w:p w14:paraId="14A932CC" w14:textId="77777777" w:rsidR="00BC388A" w:rsidRDefault="00140473">
      <w:pPr>
        <w:numPr>
          <w:ilvl w:val="0"/>
          <w:numId w:val="18"/>
        </w:numPr>
        <w:spacing w:after="0"/>
      </w:pPr>
      <w:r>
        <w:t>Technical integration (Section 4)</w:t>
      </w:r>
    </w:p>
    <w:p w14:paraId="3A0E8431" w14:textId="77777777" w:rsidR="00BC388A" w:rsidRDefault="00140473">
      <w:pPr>
        <w:numPr>
          <w:ilvl w:val="0"/>
          <w:numId w:val="18"/>
        </w:numPr>
        <w:spacing w:after="0"/>
      </w:pPr>
      <w:r>
        <w:t>Service Management System alignment (Section 5)</w:t>
      </w:r>
    </w:p>
    <w:p w14:paraId="59F21B99" w14:textId="77777777" w:rsidR="00BC388A" w:rsidRDefault="00140473">
      <w:pPr>
        <w:numPr>
          <w:ilvl w:val="0"/>
          <w:numId w:val="18"/>
        </w:numPr>
      </w:pPr>
      <w:r>
        <w:t>FAIR maturity alignment (Section 6)</w:t>
      </w:r>
    </w:p>
    <w:p w14:paraId="3819A795" w14:textId="77777777" w:rsidR="00BC388A" w:rsidRDefault="00BC388A"/>
    <w:p w14:paraId="4B3EC14A" w14:textId="77777777" w:rsidR="00BC388A" w:rsidRDefault="00BC388A">
      <w:pPr>
        <w:rPr>
          <w:highlight w:val="yellow"/>
        </w:rPr>
      </w:pPr>
    </w:p>
    <w:p w14:paraId="6A794A24" w14:textId="77777777" w:rsidR="00BC388A" w:rsidRDefault="00140473" w:rsidP="00567C6D">
      <w:pPr>
        <w:pStyle w:val="Heading1"/>
        <w:numPr>
          <w:ilvl w:val="0"/>
          <w:numId w:val="0"/>
        </w:numPr>
      </w:pPr>
      <w:bookmarkStart w:id="2" w:name="_heading=h.yjrthelf545k" w:colFirst="0" w:colLast="0"/>
      <w:bookmarkStart w:id="3" w:name="_Toc90565235"/>
      <w:bookmarkEnd w:id="2"/>
      <w:r>
        <w:lastRenderedPageBreak/>
        <w:t>2. The EGI-ACE Service Architecture</w:t>
      </w:r>
      <w:bookmarkEnd w:id="3"/>
    </w:p>
    <w:p w14:paraId="4A1E385F" w14:textId="77777777" w:rsidR="00BC388A" w:rsidRDefault="00140473" w:rsidP="00567C6D">
      <w:pPr>
        <w:pStyle w:val="Heading2"/>
        <w:numPr>
          <w:ilvl w:val="0"/>
          <w:numId w:val="0"/>
        </w:numPr>
        <w:spacing w:before="240" w:after="240"/>
      </w:pPr>
      <w:bookmarkStart w:id="4" w:name="_Toc90565236"/>
      <w:r>
        <w:t>2.1. EOSC Compute Platform services</w:t>
      </w:r>
      <w:bookmarkEnd w:id="4"/>
    </w:p>
    <w:p w14:paraId="04656091" w14:textId="77777777" w:rsidR="00BC388A" w:rsidRDefault="00140473">
      <w:pPr>
        <w:spacing w:before="240" w:after="240"/>
      </w:pPr>
      <w:r>
        <w:t>The EOSC Compute Platform federates distributed compute and storage facilities to support processing and analytics via a set of services for distributed data and compute use cases. The EOSC Compute Platform architecture is organized in functional blocks as shown in Figure 1.</w:t>
      </w:r>
    </w:p>
    <w:p w14:paraId="40365C2A" w14:textId="77777777" w:rsidR="00BC388A" w:rsidRDefault="00140473">
      <w:pPr>
        <w:rPr>
          <w:sz w:val="18"/>
          <w:szCs w:val="18"/>
        </w:rPr>
      </w:pPr>
      <w:r>
        <w:rPr>
          <w:noProof/>
        </w:rPr>
        <w:drawing>
          <wp:inline distT="114300" distB="114300" distL="114300" distR="114300" wp14:anchorId="679FE896" wp14:editId="7CAAB295">
            <wp:extent cx="5731200" cy="3276600"/>
            <wp:effectExtent l="0" t="0" r="0" b="0"/>
            <wp:docPr id="2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5731200" cy="3276600"/>
                    </a:xfrm>
                    <a:prstGeom prst="rect">
                      <a:avLst/>
                    </a:prstGeom>
                    <a:ln/>
                  </pic:spPr>
                </pic:pic>
              </a:graphicData>
            </a:graphic>
          </wp:inline>
        </w:drawing>
      </w:r>
    </w:p>
    <w:p w14:paraId="007A87A9" w14:textId="77777777" w:rsidR="00BC388A" w:rsidRDefault="00140473">
      <w:pPr>
        <w:spacing w:before="240" w:after="200"/>
        <w:jc w:val="center"/>
        <w:rPr>
          <w:sz w:val="18"/>
          <w:szCs w:val="18"/>
        </w:rPr>
      </w:pPr>
      <w:r>
        <w:rPr>
          <w:sz w:val="18"/>
          <w:szCs w:val="18"/>
        </w:rPr>
        <w:t>Figure 1. EOSC Compute Platform functional block diagram</w:t>
      </w:r>
    </w:p>
    <w:p w14:paraId="77B30E0C" w14:textId="3C0F96A1" w:rsidR="00BC388A" w:rsidRDefault="00140473" w:rsidP="00567C6D">
      <w:pPr>
        <w:spacing w:before="240" w:after="240"/>
        <w:jc w:val="left"/>
      </w:pPr>
      <w:r>
        <w:rPr>
          <w:b/>
          <w:sz w:val="24"/>
          <w:szCs w:val="24"/>
        </w:rPr>
        <w:t>Infrastructure</w:t>
      </w:r>
      <w:r w:rsidR="00567C6D">
        <w:rPr>
          <w:b/>
          <w:sz w:val="24"/>
          <w:szCs w:val="24"/>
        </w:rPr>
        <w:t xml:space="preserve"> </w:t>
      </w:r>
      <w:r>
        <w:rPr>
          <w:b/>
          <w:sz w:val="24"/>
          <w:szCs w:val="24"/>
        </w:rPr>
        <w:t>layer</w:t>
      </w:r>
      <w:r>
        <w:rPr>
          <w:b/>
          <w:sz w:val="24"/>
          <w:szCs w:val="24"/>
        </w:rPr>
        <w:br/>
      </w:r>
      <w:r>
        <w:t>At the bottom of the architecture, the Federated Resource Providers deliver a hybrid infrastructure from academic and commercial providers for running/hosting research applications and data. Different types of providers are included in this layer:</w:t>
      </w:r>
    </w:p>
    <w:p w14:paraId="2B2ED048" w14:textId="77777777" w:rsidR="00BC388A" w:rsidRDefault="00140473">
      <w:pPr>
        <w:numPr>
          <w:ilvl w:val="0"/>
          <w:numId w:val="1"/>
        </w:numPr>
        <w:spacing w:after="0"/>
        <w:ind w:left="810"/>
      </w:pPr>
      <w:r>
        <w:rPr>
          <w:b/>
        </w:rPr>
        <w:t>IaaS Cloud Providers</w:t>
      </w:r>
      <w:r>
        <w:t xml:space="preserve"> provide access to Virtual Machine-based computing with associated Object and Block storage. These deliver a very flexible and customisable platform where users have complete control over the software and the supporting compute capacity. This flexibility of the computing platform enables the support of a variety of workloads: user gateways or portals, interactive computing platforms and almost any kind of data- and/or compute-intensive workloads.</w:t>
      </w:r>
    </w:p>
    <w:p w14:paraId="3DF92B27" w14:textId="77777777" w:rsidR="00BC388A" w:rsidRDefault="00140473">
      <w:pPr>
        <w:numPr>
          <w:ilvl w:val="0"/>
          <w:numId w:val="1"/>
        </w:numPr>
        <w:spacing w:after="0"/>
        <w:ind w:left="810"/>
      </w:pPr>
      <w:r>
        <w:rPr>
          <w:b/>
        </w:rPr>
        <w:t>HTC</w:t>
      </w:r>
      <w:r>
        <w:t xml:space="preserve"> (High Throughput Compute) provides access to large, shared computing systems for running computational jobs at scale. These allow researchers to analyse large datasets in an ‘embarrassingly parallel’ fashion, i.e. by splitting the data into small pieces, and executing thousands, or even more independent computing tasks </w:t>
      </w:r>
      <w:r>
        <w:lastRenderedPageBreak/>
        <w:t>simultaneously, each processing one piece of data. HTC means the execution and management of many independent tasks over longer times.</w:t>
      </w:r>
    </w:p>
    <w:p w14:paraId="1AF95E92" w14:textId="77777777" w:rsidR="00BC388A" w:rsidRDefault="00140473">
      <w:pPr>
        <w:numPr>
          <w:ilvl w:val="0"/>
          <w:numId w:val="1"/>
        </w:numPr>
        <w:spacing w:after="240"/>
        <w:ind w:left="810"/>
      </w:pPr>
      <w:r>
        <w:rPr>
          <w:b/>
        </w:rPr>
        <w:t xml:space="preserve">HPC </w:t>
      </w:r>
      <w:r>
        <w:t>(High Performance Compute) (to be available in 2022) supports very optimised application of machines that have a lot of interconnected processing units,  with many dependent tasks that need large amounts of parallel computing along with a low latency and high bandwidth interconnection network.</w:t>
      </w:r>
    </w:p>
    <w:p w14:paraId="6BADD3FD" w14:textId="77777777" w:rsidR="00BC388A" w:rsidRDefault="00140473" w:rsidP="00567C6D">
      <w:pPr>
        <w:spacing w:before="240" w:after="240"/>
        <w:jc w:val="left"/>
      </w:pPr>
      <w:r>
        <w:rPr>
          <w:b/>
          <w:sz w:val="24"/>
          <w:szCs w:val="24"/>
        </w:rPr>
        <w:t>Federation layer</w:t>
      </w:r>
      <w:r>
        <w:rPr>
          <w:b/>
          <w:sz w:val="24"/>
          <w:szCs w:val="24"/>
        </w:rPr>
        <w:br/>
      </w:r>
      <w:r>
        <w:t>The Compute Federation services orchestrate the execution of user workloads in the Federated Resource Providers. They exploit data locality by moving computing near data and facilitate application portability with the support of a diverse range of computing platforms (Cloud IaaS, HTC, HPC) and the interaction with software distribution tools (as VM images, container images or binaries directly). There are three services in this layer of the architecture:</w:t>
      </w:r>
    </w:p>
    <w:p w14:paraId="06AA7FA8" w14:textId="77777777" w:rsidR="00BC388A" w:rsidRDefault="00140473">
      <w:pPr>
        <w:numPr>
          <w:ilvl w:val="0"/>
          <w:numId w:val="22"/>
        </w:numPr>
        <w:spacing w:after="0"/>
      </w:pPr>
      <w:r>
        <w:rPr>
          <w:b/>
        </w:rPr>
        <w:t>Hybrid cloud orchestration</w:t>
      </w:r>
      <w:r>
        <w:t xml:space="preserve"> for the deployment of custom virtual infrastructure over multiple IaaS cloud backends within academic and commercial clouds;</w:t>
      </w:r>
    </w:p>
    <w:p w14:paraId="55F0157D" w14:textId="77777777" w:rsidR="00BC388A" w:rsidRDefault="00140473">
      <w:pPr>
        <w:numPr>
          <w:ilvl w:val="0"/>
          <w:numId w:val="22"/>
        </w:numPr>
        <w:spacing w:after="0"/>
      </w:pPr>
      <w:r>
        <w:rPr>
          <w:b/>
        </w:rPr>
        <w:t>Workload Manager</w:t>
      </w:r>
      <w:r>
        <w:t xml:space="preserve"> for the scheduling and execution of jobs in the federated resource providers (both cloud and HTC/HPC);</w:t>
      </w:r>
    </w:p>
    <w:p w14:paraId="767544DB" w14:textId="77777777" w:rsidR="00BC388A" w:rsidRDefault="00140473">
      <w:pPr>
        <w:numPr>
          <w:ilvl w:val="0"/>
          <w:numId w:val="22"/>
        </w:numPr>
        <w:spacing w:after="240"/>
      </w:pPr>
      <w:r>
        <w:rPr>
          <w:b/>
        </w:rPr>
        <w:t>Software distribution</w:t>
      </w:r>
      <w:r>
        <w:t>, for making software available at the Federated Resource Providers (e.g., as VM images).</w:t>
      </w:r>
    </w:p>
    <w:p w14:paraId="0BDF8DB5" w14:textId="77777777" w:rsidR="00BC388A" w:rsidRDefault="00140473">
      <w:pPr>
        <w:spacing w:before="240" w:after="240"/>
      </w:pPr>
      <w:r>
        <w:t xml:space="preserve">The Federated Data services support exposing discoverable datasets and staging data into/out of the EOSC Compute Platform Cloud. The </w:t>
      </w:r>
      <w:r>
        <w:rPr>
          <w:b/>
        </w:rPr>
        <w:t>Federated Data Management</w:t>
      </w:r>
      <w:r>
        <w:t xml:space="preserve"> services control the raw storage capacity offered by the Federated Resource Providers to deliver data products that can be transferred among the EGI-ACE providers, and between EGI-ACE providers and external data repositories. The Federated Data Management function uses the </w:t>
      </w:r>
      <w:r>
        <w:rPr>
          <w:b/>
        </w:rPr>
        <w:t>Data Transfer</w:t>
      </w:r>
      <w:r>
        <w:t xml:space="preserve"> service to perform the transfers.</w:t>
      </w:r>
    </w:p>
    <w:p w14:paraId="1A4C0DE1" w14:textId="77777777" w:rsidR="00BC388A" w:rsidRDefault="00140473" w:rsidP="00567C6D">
      <w:pPr>
        <w:spacing w:before="240" w:after="240"/>
        <w:jc w:val="left"/>
      </w:pPr>
      <w:r>
        <w:rPr>
          <w:b/>
          <w:sz w:val="24"/>
          <w:szCs w:val="24"/>
        </w:rPr>
        <w:t>Platforms layer</w:t>
      </w:r>
      <w:r>
        <w:rPr>
          <w:b/>
          <w:sz w:val="24"/>
          <w:szCs w:val="24"/>
        </w:rPr>
        <w:br/>
      </w:r>
      <w:r>
        <w:t xml:space="preserve">A Platforms service area provides generic added-value services for scientific communities to build thematic services for end-users (typically for researchers). The platforms rely on the existing Compute Federation and Data Federation services to access the Federated Resource Providers and deliver </w:t>
      </w:r>
      <w:r>
        <w:rPr>
          <w:b/>
        </w:rPr>
        <w:t>Interactive Notebooks</w:t>
      </w:r>
      <w:r>
        <w:t xml:space="preserve">, </w:t>
      </w:r>
      <w:r>
        <w:rPr>
          <w:b/>
        </w:rPr>
        <w:t xml:space="preserve">PaaS Orchestration </w:t>
      </w:r>
      <w:r>
        <w:t xml:space="preserve">to facilitate the deployment of complex applications, and </w:t>
      </w:r>
      <w:r>
        <w:rPr>
          <w:b/>
        </w:rPr>
        <w:t>Artificial Intelligence and Machine Learning</w:t>
      </w:r>
      <w:r>
        <w:t xml:space="preserve"> and </w:t>
      </w:r>
      <w:r>
        <w:rPr>
          <w:b/>
        </w:rPr>
        <w:t>Scalable Big Data Tools</w:t>
      </w:r>
      <w:r>
        <w:t xml:space="preserve"> that can be reused in several research disciplines.</w:t>
      </w:r>
    </w:p>
    <w:p w14:paraId="72BD4242" w14:textId="77777777" w:rsidR="00BC388A" w:rsidRDefault="00140473" w:rsidP="00567C6D">
      <w:pPr>
        <w:spacing w:before="240" w:after="240"/>
        <w:jc w:val="left"/>
      </w:pPr>
      <w:r>
        <w:rPr>
          <w:b/>
          <w:sz w:val="24"/>
          <w:szCs w:val="24"/>
        </w:rPr>
        <w:t>Service Management Tools</w:t>
      </w:r>
      <w:r>
        <w:rPr>
          <w:b/>
          <w:sz w:val="24"/>
          <w:szCs w:val="24"/>
        </w:rPr>
        <w:br/>
      </w:r>
      <w:r>
        <w:t xml:space="preserve">The Service Management Tools pillar delivers the functionality for services of all other areas to be integrated in the Federation. They support the operation of the EOSC Compute platform and integrate and interoperate with the EOSC Core that is run and is further developed in the EOSC Future project. EGI’s </w:t>
      </w:r>
      <w:r>
        <w:rPr>
          <w:b/>
        </w:rPr>
        <w:t>Authentication and Authorisation</w:t>
      </w:r>
      <w:r>
        <w:t xml:space="preserve"> service, called Check-in, is a key component of the architecture that enables using a common identity across all the layers and services of the EOSC Compute platform. </w:t>
      </w:r>
      <w:r>
        <w:rPr>
          <w:b/>
        </w:rPr>
        <w:lastRenderedPageBreak/>
        <w:t>Configuration Database</w:t>
      </w:r>
      <w:r>
        <w:t xml:space="preserve">, </w:t>
      </w:r>
      <w:r>
        <w:rPr>
          <w:b/>
        </w:rPr>
        <w:t>Monitoring</w:t>
      </w:r>
      <w:r>
        <w:t xml:space="preserve">, </w:t>
      </w:r>
      <w:r>
        <w:rPr>
          <w:b/>
        </w:rPr>
        <w:t>Accounting</w:t>
      </w:r>
      <w:r>
        <w:t xml:space="preserve">, and </w:t>
      </w:r>
      <w:r>
        <w:rPr>
          <w:b/>
        </w:rPr>
        <w:t>Helpdesk</w:t>
      </w:r>
      <w:r>
        <w:t xml:space="preserve"> services are also included in this area alongside with other non-technical services and coordination activities like Operations Management, and Security and Incident Response.</w:t>
      </w:r>
    </w:p>
    <w:p w14:paraId="61A3CFCA" w14:textId="77777777" w:rsidR="00BC388A" w:rsidRDefault="00140473" w:rsidP="00567C6D">
      <w:pPr>
        <w:pStyle w:val="Heading2"/>
        <w:numPr>
          <w:ilvl w:val="0"/>
          <w:numId w:val="0"/>
        </w:numPr>
        <w:spacing w:before="240" w:after="240"/>
      </w:pPr>
      <w:bookmarkStart w:id="5" w:name="_Toc90565237"/>
      <w:r>
        <w:t>2.2. Support to Data spaces</w:t>
      </w:r>
      <w:bookmarkEnd w:id="5"/>
    </w:p>
    <w:p w14:paraId="64677549" w14:textId="77777777" w:rsidR="00BC388A" w:rsidRDefault="00140473" w:rsidP="00567C6D">
      <w:pPr>
        <w:spacing w:before="240" w:after="240"/>
        <w:jc w:val="left"/>
      </w:pPr>
      <w:r>
        <w:t xml:space="preserve">The project contributes to the EOSC Data Commons through the setup and provisioning of ‘Data Spaces’ that integrates and hosts scientific datasets and data analytics applications on top of the Compute Platform. Data spaces are ‘thematic services’, i.e. they provide discipline specific capabilities for the end users. However, unlike other types of Thematic Services, Data Spaces host and integrate both data and applications into a single unit, enabling the scalable analysis of big datasets. </w:t>
      </w:r>
      <w:r>
        <w:br/>
        <w:t>In contrast to simple “Publication of Open Data”, a Public Data Space manages issues of access and use, as well as provides related tools and infrastructure. The EC’s usage of the term “data space” assumes a public data space, so we interpret a public Data space as a “</w:t>
      </w:r>
      <w:r>
        <w:rPr>
          <w:i/>
        </w:rPr>
        <w:t>public collection of FAIR, quality data and related resources consumed, produced and provided by identified participants, each respecting societal values and operating within an explicit framework of trust and governance</w:t>
      </w:r>
      <w:r>
        <w:t xml:space="preserve">”.  </w:t>
      </w:r>
      <w:r>
        <w:br/>
        <w:t xml:space="preserve">EGI-ACE Data spaces are built by scientific communities, research infrastructures and projects. The EGI-ACE consortium includes 13 Data spaces (See Figure 2), and supports additional ones that contact EGI-ACE via its open calls with the intention to set up Data spaces on top of the EOSC Compute Platform. Data spaces and other thematic services share the EOSC Compute Platform as a common architecture. The rest of their setup is specific to their scientific domains and target user groups. </w:t>
      </w:r>
    </w:p>
    <w:p w14:paraId="700B69DA" w14:textId="77777777" w:rsidR="00BC388A" w:rsidRDefault="00140473">
      <w:pPr>
        <w:spacing w:before="240" w:after="240"/>
        <w:jc w:val="center"/>
      </w:pPr>
      <w:r>
        <w:rPr>
          <w:noProof/>
        </w:rPr>
        <w:lastRenderedPageBreak/>
        <w:drawing>
          <wp:inline distT="114300" distB="114300" distL="114300" distR="114300" wp14:anchorId="3B91F424" wp14:editId="694FE636">
            <wp:extent cx="5731200" cy="4025900"/>
            <wp:effectExtent l="0" t="0" r="0" b="0"/>
            <wp:docPr id="1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5731200" cy="4025900"/>
                    </a:xfrm>
                    <a:prstGeom prst="rect">
                      <a:avLst/>
                    </a:prstGeom>
                    <a:ln/>
                  </pic:spPr>
                </pic:pic>
              </a:graphicData>
            </a:graphic>
          </wp:inline>
        </w:drawing>
      </w:r>
    </w:p>
    <w:p w14:paraId="00E8C576" w14:textId="77777777" w:rsidR="00BC388A" w:rsidRDefault="00140473">
      <w:pPr>
        <w:spacing w:before="240" w:after="240"/>
        <w:jc w:val="center"/>
      </w:pPr>
      <w:r>
        <w:rPr>
          <w:sz w:val="18"/>
          <w:szCs w:val="18"/>
        </w:rPr>
        <w:t>Figure 2. EGI-ACE Data Spaces included in the project consortium</w:t>
      </w:r>
    </w:p>
    <w:p w14:paraId="7CEBFDAE" w14:textId="77777777" w:rsidR="00BC388A" w:rsidRDefault="00140473" w:rsidP="00567C6D">
      <w:pPr>
        <w:pStyle w:val="Heading2"/>
        <w:numPr>
          <w:ilvl w:val="0"/>
          <w:numId w:val="0"/>
        </w:numPr>
        <w:spacing w:before="240" w:after="240"/>
      </w:pPr>
      <w:bookmarkStart w:id="6" w:name="_Toc90565238"/>
      <w:r>
        <w:t>2.3. Support for users and providers</w:t>
      </w:r>
      <w:bookmarkEnd w:id="6"/>
    </w:p>
    <w:p w14:paraId="046FF6CC" w14:textId="77777777" w:rsidR="00BC388A" w:rsidRDefault="00140473">
      <w:r>
        <w:t xml:space="preserve">Support for users and providers is an integral part of the project workplan. User support helps individual users and user communities in the uptake and use of the services; provider support helps new providers join the infrastructure, and existing providers in operating according to the EOSC and EGI standards. Without support there would be no (or much less) uptake as experience shows that e-infrastructures use and deployment are quite effort intensive activities where proper support can save a lot of time and effort for the customers. </w:t>
      </w:r>
    </w:p>
    <w:p w14:paraId="565BB56B" w14:textId="77777777" w:rsidR="00BC388A" w:rsidRDefault="00140473">
      <w:pPr>
        <w:numPr>
          <w:ilvl w:val="0"/>
          <w:numId w:val="15"/>
        </w:numPr>
        <w:spacing w:after="0"/>
      </w:pPr>
      <w:r>
        <w:t xml:space="preserve">User support is based on the following 4 pillars: Shepherds, Training programme, User documentation, Site/service specific support teams. </w:t>
      </w:r>
    </w:p>
    <w:p w14:paraId="174BA463" w14:textId="77777777" w:rsidR="00BC388A" w:rsidRDefault="00140473">
      <w:pPr>
        <w:numPr>
          <w:ilvl w:val="0"/>
          <w:numId w:val="15"/>
        </w:numPr>
      </w:pPr>
      <w:r>
        <w:t>Provider support is based on the following 4 pillars: Provider documentations, EGI.eu and NGI operations teams (OMB)</w:t>
      </w:r>
      <w:r>
        <w:rPr>
          <w:vertAlign w:val="superscript"/>
        </w:rPr>
        <w:footnoteReference w:id="3"/>
      </w:r>
      <w:r>
        <w:t>, Onboarding support (WP2), Integration support (in WP7 and EOSC-Future).</w:t>
      </w:r>
    </w:p>
    <w:p w14:paraId="4BEE2DA0" w14:textId="77777777" w:rsidR="00BC388A" w:rsidRDefault="00140473">
      <w:r>
        <w:t xml:space="preserve">The structured and integrated support that EGI-ACE provides for users and service providers is an important distinctive feature that sets the EOSC Compute Platform apart from commercial compute services. </w:t>
      </w:r>
      <w:r>
        <w:br w:type="page"/>
      </w:r>
    </w:p>
    <w:p w14:paraId="0B592DCB" w14:textId="77777777" w:rsidR="00BC388A" w:rsidRDefault="00140473" w:rsidP="00567C6D">
      <w:pPr>
        <w:pStyle w:val="Heading1"/>
        <w:numPr>
          <w:ilvl w:val="0"/>
          <w:numId w:val="0"/>
        </w:numPr>
      </w:pPr>
      <w:bookmarkStart w:id="7" w:name="_Toc90565239"/>
      <w:r>
        <w:lastRenderedPageBreak/>
        <w:t>3. Service portfolio integration</w:t>
      </w:r>
      <w:bookmarkEnd w:id="7"/>
    </w:p>
    <w:p w14:paraId="773E6FFA" w14:textId="77777777" w:rsidR="00BC388A" w:rsidRDefault="00140473" w:rsidP="00567C6D">
      <w:pPr>
        <w:pStyle w:val="Heading2"/>
        <w:numPr>
          <w:ilvl w:val="0"/>
          <w:numId w:val="0"/>
        </w:numPr>
      </w:pPr>
      <w:bookmarkStart w:id="8" w:name="_Toc90565240"/>
      <w:r>
        <w:t>3.1. EGI-ACE services in the EOSC Portal</w:t>
      </w:r>
      <w:bookmarkEnd w:id="8"/>
    </w:p>
    <w:p w14:paraId="315AC29B" w14:textId="77777777" w:rsidR="00BC388A" w:rsidRDefault="00140473">
      <w:pPr>
        <w:spacing w:before="240" w:after="240"/>
        <w:rPr>
          <w:b/>
        </w:rPr>
      </w:pPr>
      <w:r>
        <w:t>Making a service available in EOSC requires the service to be visible and accessible to users via the EOSC Portal and its Marketplace. Column 2 of Table 1 below provides a service-by-service overview of the status of EGI-ACE services in the EOSC Portal.</w:t>
      </w:r>
    </w:p>
    <w:p w14:paraId="01E886A9" w14:textId="77777777" w:rsidR="00BC388A" w:rsidRDefault="00140473">
      <w:pPr>
        <w:spacing w:before="240" w:after="240"/>
      </w:pPr>
      <w:r>
        <w:t>Most of the EGI Foundation services, and some of the NGI services of the EOSC Compute Platform have been onboarded to the EOSC Portal during the EOSC-hub project. Task 2.2</w:t>
      </w:r>
      <w:r>
        <w:rPr>
          <w:vertAlign w:val="superscript"/>
        </w:rPr>
        <w:footnoteReference w:id="4"/>
      </w:r>
      <w:r>
        <w:t xml:space="preserve"> of EGI-ACE provided assistance to the remaining providers to complete the onboarding task that, in most of the cases, meant filling out the service registration form on the EOSC Portal, in some of the cases meant registering the provider behind an already registered EOSC Service (for example registered GSI as provider for the EGI Cloud Compute service). Only two services are not registered in the EOSC Portal: </w:t>
      </w:r>
    </w:p>
    <w:p w14:paraId="5082A669" w14:textId="77777777" w:rsidR="00BC388A" w:rsidRDefault="00140473">
      <w:pPr>
        <w:numPr>
          <w:ilvl w:val="0"/>
          <w:numId w:val="14"/>
        </w:numPr>
        <w:spacing w:before="240" w:after="0"/>
      </w:pPr>
      <w:r>
        <w:t xml:space="preserve">AppDB - which is used as a component within the EGI Cloud Compute Service, </w:t>
      </w:r>
    </w:p>
    <w:p w14:paraId="3F36D9A5" w14:textId="77777777" w:rsidR="00BC388A" w:rsidRDefault="00140473">
      <w:pPr>
        <w:numPr>
          <w:ilvl w:val="0"/>
          <w:numId w:val="14"/>
        </w:numPr>
        <w:spacing w:after="240"/>
      </w:pPr>
      <w:r>
        <w:t xml:space="preserve">Binder - which still needs to be integrated with the EGI Cloud Compute and Check-in services to open it for broader usage via EOSC. </w:t>
      </w:r>
    </w:p>
    <w:p w14:paraId="36487512" w14:textId="77777777" w:rsidR="00BC388A" w:rsidRDefault="00140473">
      <w:r>
        <w:t xml:space="preserve">A few of the EGI-ACE Data Space services have been onboarded to EOSC Portal during EOSC-hub, however most of these have to be updated in EGI-ACE due to the new functionalities they offer, or on-boarded as new services with the support of Task 2.2. Five Data Space services are not yet in EOSC Portal: </w:t>
      </w:r>
      <w:proofErr w:type="spellStart"/>
      <w:r>
        <w:t>OpenRiskNet</w:t>
      </w:r>
      <w:proofErr w:type="spellEnd"/>
      <w:r>
        <w:t>/</w:t>
      </w:r>
      <w:proofErr w:type="spellStart"/>
      <w:r>
        <w:t>NanoCommons</w:t>
      </w:r>
      <w:proofErr w:type="spellEnd"/>
      <w:r>
        <w:t xml:space="preserve"> (unfunded), PROMINENCE, LOFAR Science Products, </w:t>
      </w:r>
      <w:proofErr w:type="spellStart"/>
      <w:r>
        <w:t>SeaDataNet</w:t>
      </w:r>
      <w:proofErr w:type="spellEnd"/>
      <w:r>
        <w:t xml:space="preserve"> and GBIF Cloud data space. These required substantial integration with the EOSC Compute Platform services in 2021, and are expected to start the onboarding to EOSC in the next months. </w:t>
      </w:r>
    </w:p>
    <w:p w14:paraId="14BFFD1F" w14:textId="77777777" w:rsidR="00BC388A" w:rsidRDefault="00140473">
      <w:r>
        <w:t>All the onboarded services of EGI-ACE are pulled together into a single page</w:t>
      </w:r>
      <w:r>
        <w:rPr>
          <w:vertAlign w:val="superscript"/>
        </w:rPr>
        <w:footnoteReference w:id="5"/>
      </w:r>
      <w:r>
        <w:t xml:space="preserve"> within the EOSC Marketplace, using the ‘Related platforms’ </w:t>
      </w:r>
    </w:p>
    <w:p w14:paraId="245E4FFA" w14:textId="77777777" w:rsidR="00BC388A" w:rsidRDefault="00140473">
      <w:r>
        <w:t xml:space="preserve">In the first nine months of the project the EGI-ACE services were used by more than 40,000 users. In particular, the data space services were used by over 37,000 users while the Compute Platform services by ~3,000 users via direct access (i.e. to manage virtual machines and jobs) and by 37,000 users via the hosted data spaces. </w:t>
      </w:r>
    </w:p>
    <w:p w14:paraId="512EE8C2" w14:textId="05A82255" w:rsidR="00BC388A" w:rsidRDefault="00140473">
      <w:r>
        <w:t xml:space="preserve">The EOSC Compute Platform layer served 56 user communities in this period. These communities are either part of the consortium (data space providers), applied for access via the EOSC Portal, via the EGI-ACE Open Calls, or with EGI Foundation directly. The total capacity requested by EGI-ACE use cases amounts to 105 </w:t>
      </w:r>
      <w:r w:rsidR="00567C6D">
        <w:t>million</w:t>
      </w:r>
      <w:r>
        <w:t xml:space="preserve"> CPU hours. More detailed analysis of the usage of the EOSC Compute Platform is provided in EGI-ACE D2.2</w:t>
      </w:r>
      <w:r>
        <w:rPr>
          <w:vertAlign w:val="superscript"/>
        </w:rPr>
        <w:footnoteReference w:id="6"/>
      </w:r>
      <w:r>
        <w:t xml:space="preserve">.  </w:t>
      </w:r>
    </w:p>
    <w:p w14:paraId="0FA44A7F" w14:textId="77777777" w:rsidR="00BC388A" w:rsidRDefault="00140473">
      <w:r>
        <w:lastRenderedPageBreak/>
        <w:t xml:space="preserve">The EGI-ACE project is leveraging the decade-long service delivery experiences of the EGI Foundation. The services of the EGI Foundation are governed by the EGI Council and are grouped into two service portfolios: </w:t>
      </w:r>
    </w:p>
    <w:p w14:paraId="2CCAB2D2" w14:textId="77777777" w:rsidR="00BC388A" w:rsidRDefault="00140473">
      <w:pPr>
        <w:numPr>
          <w:ilvl w:val="0"/>
          <w:numId w:val="16"/>
        </w:numPr>
        <w:spacing w:after="0"/>
      </w:pPr>
      <w:r>
        <w:t>External services</w:t>
      </w:r>
      <w:r>
        <w:rPr>
          <w:vertAlign w:val="superscript"/>
        </w:rPr>
        <w:footnoteReference w:id="7"/>
      </w:r>
      <w:r>
        <w:t xml:space="preserve"> (or EGI services in short) target scientists, multinational projects and research infrastructures and are provided by EGI’s federated cloud providers and data centres. The services can be requested by everyone involved in academic research and businesses via the EGI Marketplace and recently via the EOSC Marketplace. The External services are part of the  ‘Federated resource providers’, the ‘Compute and data federation’ and the ‘Platforms’ layers of the EOSC Compute Platform (See Figure 1). EGI external services are sustained from a mix of national funds and EGI Council membership fees. </w:t>
      </w:r>
    </w:p>
    <w:p w14:paraId="773ADD1B" w14:textId="77777777" w:rsidR="00BC388A" w:rsidRDefault="00140473">
      <w:pPr>
        <w:numPr>
          <w:ilvl w:val="0"/>
          <w:numId w:val="16"/>
        </w:numPr>
      </w:pPr>
      <w:r>
        <w:t>Internal services</w:t>
      </w:r>
      <w:r>
        <w:rPr>
          <w:vertAlign w:val="superscript"/>
        </w:rPr>
        <w:footnoteReference w:id="8"/>
      </w:r>
      <w:r>
        <w:t xml:space="preserve"> are provided for the benefit of the EGI Council members and affiliated organisations. The internal services complement the EGI Services for academia and business with tools designed to facilitate coordination and improve how the EGI Federation works together. The EGI internal services form the ‘Service Management tools’ pillar of the EOSC Compute Platform (See Figure 1). The EGI Internal services receive funding from the EGI Council membership fees, thus they are sustainable outside EOSC. </w:t>
      </w:r>
    </w:p>
    <w:p w14:paraId="28414534" w14:textId="77777777" w:rsidR="00BC388A" w:rsidRDefault="00140473">
      <w:pPr>
        <w:rPr>
          <w:sz w:val="18"/>
          <w:szCs w:val="18"/>
        </w:rPr>
      </w:pPr>
      <w:r>
        <w:rPr>
          <w:sz w:val="18"/>
          <w:szCs w:val="18"/>
        </w:rPr>
        <w:t>Table 1: Status of EGI-ACE services in EOSC Portal and in the EGI Catalogues</w:t>
      </w:r>
    </w:p>
    <w:tbl>
      <w:tblPr>
        <w:tblStyle w:val="aa"/>
        <w:tblW w:w="891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50"/>
        <w:gridCol w:w="3150"/>
        <w:gridCol w:w="3210"/>
      </w:tblGrid>
      <w:tr w:rsidR="00BC388A" w14:paraId="3A332808" w14:textId="77777777">
        <w:tc>
          <w:tcPr>
            <w:tcW w:w="2550" w:type="dxa"/>
            <w:shd w:val="clear" w:color="auto" w:fill="A4C2F4"/>
            <w:tcMar>
              <w:top w:w="100" w:type="dxa"/>
              <w:left w:w="100" w:type="dxa"/>
              <w:bottom w:w="100" w:type="dxa"/>
              <w:right w:w="100" w:type="dxa"/>
            </w:tcMar>
          </w:tcPr>
          <w:p w14:paraId="6B08A10C"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EGI-ACE service</w:t>
            </w:r>
          </w:p>
        </w:tc>
        <w:tc>
          <w:tcPr>
            <w:tcW w:w="3150" w:type="dxa"/>
            <w:shd w:val="clear" w:color="auto" w:fill="A4C2F4"/>
            <w:tcMar>
              <w:top w:w="100" w:type="dxa"/>
              <w:left w:w="100" w:type="dxa"/>
              <w:bottom w:w="100" w:type="dxa"/>
              <w:right w:w="100" w:type="dxa"/>
            </w:tcMar>
          </w:tcPr>
          <w:p w14:paraId="45173C4D"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Status in EOSC Portal Catalogue</w:t>
            </w:r>
          </w:p>
        </w:tc>
        <w:tc>
          <w:tcPr>
            <w:tcW w:w="3210" w:type="dxa"/>
            <w:shd w:val="clear" w:color="auto" w:fill="A4C2F4"/>
            <w:tcMar>
              <w:top w:w="100" w:type="dxa"/>
              <w:left w:w="100" w:type="dxa"/>
              <w:bottom w:w="100" w:type="dxa"/>
              <w:right w:w="100" w:type="dxa"/>
            </w:tcMar>
          </w:tcPr>
          <w:p w14:paraId="27712207"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Status in EGI Catalogue</w:t>
            </w:r>
          </w:p>
        </w:tc>
      </w:tr>
      <w:tr w:rsidR="00BC388A" w14:paraId="5254055A" w14:textId="77777777">
        <w:trPr>
          <w:trHeight w:val="400"/>
        </w:trPr>
        <w:tc>
          <w:tcPr>
            <w:tcW w:w="8910" w:type="dxa"/>
            <w:gridSpan w:val="3"/>
            <w:shd w:val="clear" w:color="auto" w:fill="CFE2F3"/>
          </w:tcPr>
          <w:p w14:paraId="57938B4E"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EOSC Compute Platform: Federated resource provider services</w:t>
            </w:r>
          </w:p>
        </w:tc>
      </w:tr>
      <w:tr w:rsidR="00BC388A" w14:paraId="48BBBF5C" w14:textId="77777777">
        <w:tc>
          <w:tcPr>
            <w:tcW w:w="2550" w:type="dxa"/>
            <w:shd w:val="clear" w:color="auto" w:fill="auto"/>
            <w:tcMar>
              <w:top w:w="100" w:type="dxa"/>
              <w:left w:w="100" w:type="dxa"/>
              <w:bottom w:w="100" w:type="dxa"/>
              <w:right w:w="100" w:type="dxa"/>
            </w:tcMar>
          </w:tcPr>
          <w:p w14:paraId="7C5E3B9D"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EGI Cloud Compute</w:t>
            </w:r>
          </w:p>
        </w:tc>
        <w:tc>
          <w:tcPr>
            <w:tcW w:w="3150" w:type="dxa"/>
            <w:shd w:val="clear" w:color="auto" w:fill="D9EAD3"/>
            <w:tcMar>
              <w:top w:w="100" w:type="dxa"/>
              <w:left w:w="100" w:type="dxa"/>
              <w:bottom w:w="100" w:type="dxa"/>
              <w:right w:w="100" w:type="dxa"/>
            </w:tcMar>
          </w:tcPr>
          <w:p w14:paraId="4621E1C8"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Onboarded as EGI Cloud Compute</w:t>
            </w:r>
          </w:p>
        </w:tc>
        <w:tc>
          <w:tcPr>
            <w:tcW w:w="3210" w:type="dxa"/>
            <w:shd w:val="clear" w:color="auto" w:fill="D9EAD3"/>
            <w:tcMar>
              <w:top w:w="100" w:type="dxa"/>
              <w:left w:w="100" w:type="dxa"/>
              <w:bottom w:w="100" w:type="dxa"/>
              <w:right w:w="100" w:type="dxa"/>
            </w:tcMar>
          </w:tcPr>
          <w:p w14:paraId="1CDF974A"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In external catalogue</w:t>
            </w:r>
          </w:p>
        </w:tc>
      </w:tr>
      <w:tr w:rsidR="00BC388A" w14:paraId="76923FD8" w14:textId="77777777">
        <w:tc>
          <w:tcPr>
            <w:tcW w:w="2550" w:type="dxa"/>
            <w:shd w:val="clear" w:color="auto" w:fill="auto"/>
            <w:tcMar>
              <w:top w:w="100" w:type="dxa"/>
              <w:left w:w="100" w:type="dxa"/>
              <w:bottom w:w="100" w:type="dxa"/>
              <w:right w:w="100" w:type="dxa"/>
            </w:tcMar>
          </w:tcPr>
          <w:p w14:paraId="65A8FF37"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SURF HTC</w:t>
            </w:r>
          </w:p>
        </w:tc>
        <w:tc>
          <w:tcPr>
            <w:tcW w:w="3150" w:type="dxa"/>
            <w:shd w:val="clear" w:color="auto" w:fill="D9EAD3"/>
            <w:tcMar>
              <w:top w:w="100" w:type="dxa"/>
              <w:left w:w="100" w:type="dxa"/>
              <w:bottom w:w="100" w:type="dxa"/>
              <w:right w:w="100" w:type="dxa"/>
            </w:tcMar>
          </w:tcPr>
          <w:p w14:paraId="1F53D62C"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Registered as provider of the previously onboarded EGI HTC Compute</w:t>
            </w:r>
          </w:p>
        </w:tc>
        <w:tc>
          <w:tcPr>
            <w:tcW w:w="3210" w:type="dxa"/>
            <w:shd w:val="clear" w:color="auto" w:fill="D9EAD3"/>
            <w:tcMar>
              <w:top w:w="100" w:type="dxa"/>
              <w:left w:w="100" w:type="dxa"/>
              <w:bottom w:w="100" w:type="dxa"/>
              <w:right w:w="100" w:type="dxa"/>
            </w:tcMar>
          </w:tcPr>
          <w:p w14:paraId="6E4C0CC1" w14:textId="77777777" w:rsidR="00BC388A" w:rsidRDefault="00140473">
            <w:pPr>
              <w:spacing w:after="0" w:line="240" w:lineRule="auto"/>
              <w:rPr>
                <w:rFonts w:ascii="Calibri" w:eastAsia="Calibri" w:hAnsi="Calibri" w:cs="Calibri"/>
                <w:b/>
                <w:sz w:val="18"/>
                <w:szCs w:val="18"/>
                <w:shd w:val="clear" w:color="auto" w:fill="D9EAD3"/>
              </w:rPr>
            </w:pPr>
            <w:r>
              <w:rPr>
                <w:rFonts w:ascii="Calibri" w:eastAsia="Calibri" w:hAnsi="Calibri" w:cs="Calibri"/>
                <w:b/>
                <w:sz w:val="18"/>
                <w:szCs w:val="18"/>
              </w:rPr>
              <w:t>Provider of the HTC service in the external catalogue</w:t>
            </w:r>
          </w:p>
        </w:tc>
      </w:tr>
      <w:tr w:rsidR="00BC388A" w14:paraId="1B59E96E" w14:textId="77777777">
        <w:tc>
          <w:tcPr>
            <w:tcW w:w="2550" w:type="dxa"/>
            <w:shd w:val="clear" w:color="auto" w:fill="auto"/>
            <w:tcMar>
              <w:top w:w="100" w:type="dxa"/>
              <w:left w:w="100" w:type="dxa"/>
              <w:bottom w:w="100" w:type="dxa"/>
              <w:right w:w="100" w:type="dxa"/>
            </w:tcMar>
          </w:tcPr>
          <w:p w14:paraId="63A84BDC"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EGI Container</w:t>
            </w:r>
          </w:p>
        </w:tc>
        <w:tc>
          <w:tcPr>
            <w:tcW w:w="3150" w:type="dxa"/>
            <w:shd w:val="clear" w:color="auto" w:fill="D9EAD3"/>
            <w:tcMar>
              <w:top w:w="100" w:type="dxa"/>
              <w:left w:w="100" w:type="dxa"/>
              <w:bottom w:w="100" w:type="dxa"/>
              <w:right w:w="100" w:type="dxa"/>
            </w:tcMar>
          </w:tcPr>
          <w:p w14:paraId="4A7323A4"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Onboarded as EGI Cloud Container Compute</w:t>
            </w:r>
          </w:p>
        </w:tc>
        <w:tc>
          <w:tcPr>
            <w:tcW w:w="3210" w:type="dxa"/>
            <w:shd w:val="clear" w:color="auto" w:fill="D9EAD3"/>
            <w:tcMar>
              <w:top w:w="100" w:type="dxa"/>
              <w:left w:w="100" w:type="dxa"/>
              <w:bottom w:w="100" w:type="dxa"/>
              <w:right w:w="100" w:type="dxa"/>
            </w:tcMar>
          </w:tcPr>
          <w:p w14:paraId="3E2B39EC"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In external catalogue</w:t>
            </w:r>
          </w:p>
        </w:tc>
      </w:tr>
      <w:tr w:rsidR="00BC388A" w14:paraId="306A425D" w14:textId="77777777">
        <w:tc>
          <w:tcPr>
            <w:tcW w:w="2550" w:type="dxa"/>
            <w:shd w:val="clear" w:color="auto" w:fill="auto"/>
            <w:tcMar>
              <w:top w:w="100" w:type="dxa"/>
              <w:left w:w="100" w:type="dxa"/>
              <w:bottom w:w="100" w:type="dxa"/>
              <w:right w:w="100" w:type="dxa"/>
            </w:tcMar>
          </w:tcPr>
          <w:p w14:paraId="635CDA81"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highlight w:val="white"/>
              </w:rPr>
              <w:t>Dynamic DNS Service</w:t>
            </w:r>
          </w:p>
        </w:tc>
        <w:tc>
          <w:tcPr>
            <w:tcW w:w="3150" w:type="dxa"/>
            <w:shd w:val="clear" w:color="auto" w:fill="D9EAD3"/>
            <w:tcMar>
              <w:top w:w="100" w:type="dxa"/>
              <w:left w:w="100" w:type="dxa"/>
              <w:bottom w:w="100" w:type="dxa"/>
              <w:right w:w="100" w:type="dxa"/>
            </w:tcMar>
          </w:tcPr>
          <w:p w14:paraId="7C3773E1"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Onboarded as Dynamic DNS Service</w:t>
            </w:r>
          </w:p>
        </w:tc>
        <w:tc>
          <w:tcPr>
            <w:tcW w:w="3210" w:type="dxa"/>
            <w:shd w:val="clear" w:color="auto" w:fill="FFF2CC"/>
            <w:tcMar>
              <w:top w:w="100" w:type="dxa"/>
              <w:left w:w="100" w:type="dxa"/>
              <w:bottom w:w="100" w:type="dxa"/>
              <w:right w:w="100" w:type="dxa"/>
            </w:tcMar>
          </w:tcPr>
          <w:p w14:paraId="766589F4"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Component of the EGI Cloud service</w:t>
            </w:r>
          </w:p>
        </w:tc>
      </w:tr>
      <w:tr w:rsidR="00BC388A" w14:paraId="1EA5A00D" w14:textId="77777777">
        <w:tc>
          <w:tcPr>
            <w:tcW w:w="2550" w:type="dxa"/>
            <w:shd w:val="clear" w:color="auto" w:fill="auto"/>
            <w:tcMar>
              <w:top w:w="100" w:type="dxa"/>
              <w:left w:w="100" w:type="dxa"/>
              <w:bottom w:w="100" w:type="dxa"/>
              <w:right w:w="100" w:type="dxa"/>
            </w:tcMar>
          </w:tcPr>
          <w:p w14:paraId="7780B2D6"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EGI Online Storage</w:t>
            </w:r>
          </w:p>
        </w:tc>
        <w:tc>
          <w:tcPr>
            <w:tcW w:w="3150" w:type="dxa"/>
            <w:shd w:val="clear" w:color="auto" w:fill="D9EAD3"/>
            <w:tcMar>
              <w:top w:w="100" w:type="dxa"/>
              <w:left w:w="100" w:type="dxa"/>
              <w:bottom w:w="100" w:type="dxa"/>
              <w:right w:w="100" w:type="dxa"/>
            </w:tcMar>
          </w:tcPr>
          <w:p w14:paraId="1F59BFC5"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Onboarded as EGI Online Storage</w:t>
            </w:r>
          </w:p>
        </w:tc>
        <w:tc>
          <w:tcPr>
            <w:tcW w:w="3210" w:type="dxa"/>
            <w:shd w:val="clear" w:color="auto" w:fill="D9EAD3"/>
            <w:tcMar>
              <w:top w:w="100" w:type="dxa"/>
              <w:left w:w="100" w:type="dxa"/>
              <w:bottom w:w="100" w:type="dxa"/>
              <w:right w:w="100" w:type="dxa"/>
            </w:tcMar>
          </w:tcPr>
          <w:p w14:paraId="511E9E24"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In external catalogue</w:t>
            </w:r>
          </w:p>
        </w:tc>
      </w:tr>
      <w:tr w:rsidR="00BC388A" w14:paraId="5318A57E" w14:textId="77777777">
        <w:trPr>
          <w:trHeight w:val="380"/>
        </w:trPr>
        <w:tc>
          <w:tcPr>
            <w:tcW w:w="8910" w:type="dxa"/>
            <w:gridSpan w:val="3"/>
            <w:shd w:val="clear" w:color="auto" w:fill="CFE2F3"/>
          </w:tcPr>
          <w:p w14:paraId="52F9C573"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EOSC Compute Platform: Compute and data federation services</w:t>
            </w:r>
          </w:p>
        </w:tc>
      </w:tr>
      <w:tr w:rsidR="00BC388A" w14:paraId="71D708E5" w14:textId="77777777">
        <w:tc>
          <w:tcPr>
            <w:tcW w:w="2550" w:type="dxa"/>
            <w:shd w:val="clear" w:color="auto" w:fill="auto"/>
            <w:tcMar>
              <w:top w:w="100" w:type="dxa"/>
              <w:left w:w="100" w:type="dxa"/>
              <w:bottom w:w="100" w:type="dxa"/>
              <w:right w:w="100" w:type="dxa"/>
            </w:tcMar>
          </w:tcPr>
          <w:p w14:paraId="7391AF02"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AppDB</w:t>
            </w:r>
          </w:p>
        </w:tc>
        <w:tc>
          <w:tcPr>
            <w:tcW w:w="3150" w:type="dxa"/>
            <w:shd w:val="clear" w:color="auto" w:fill="F4CCCC"/>
            <w:tcMar>
              <w:top w:w="100" w:type="dxa"/>
              <w:left w:w="100" w:type="dxa"/>
              <w:bottom w:w="100" w:type="dxa"/>
              <w:right w:w="100" w:type="dxa"/>
            </w:tcMar>
          </w:tcPr>
          <w:p w14:paraId="36F3D092"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in EOSC Catalogue</w:t>
            </w:r>
          </w:p>
        </w:tc>
        <w:tc>
          <w:tcPr>
            <w:tcW w:w="3210" w:type="dxa"/>
            <w:shd w:val="clear" w:color="auto" w:fill="FFF2CC"/>
            <w:tcMar>
              <w:top w:w="100" w:type="dxa"/>
              <w:left w:w="100" w:type="dxa"/>
              <w:bottom w:w="100" w:type="dxa"/>
              <w:right w:w="100" w:type="dxa"/>
            </w:tcMar>
          </w:tcPr>
          <w:p w14:paraId="429539CB"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Component of the EGI Cloud service</w:t>
            </w:r>
          </w:p>
        </w:tc>
      </w:tr>
      <w:tr w:rsidR="00BC388A" w14:paraId="1DB05688" w14:textId="77777777">
        <w:tc>
          <w:tcPr>
            <w:tcW w:w="2550" w:type="dxa"/>
            <w:shd w:val="clear" w:color="auto" w:fill="auto"/>
            <w:tcMar>
              <w:top w:w="100" w:type="dxa"/>
              <w:left w:w="100" w:type="dxa"/>
              <w:bottom w:w="100" w:type="dxa"/>
              <w:right w:w="100" w:type="dxa"/>
            </w:tcMar>
          </w:tcPr>
          <w:p w14:paraId="617D2576"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highlight w:val="white"/>
              </w:rPr>
              <w:t xml:space="preserve">DataHub </w:t>
            </w:r>
          </w:p>
        </w:tc>
        <w:tc>
          <w:tcPr>
            <w:tcW w:w="3150" w:type="dxa"/>
            <w:shd w:val="clear" w:color="auto" w:fill="D9EAD3"/>
            <w:tcMar>
              <w:top w:w="100" w:type="dxa"/>
              <w:left w:w="100" w:type="dxa"/>
              <w:bottom w:w="100" w:type="dxa"/>
              <w:right w:w="100" w:type="dxa"/>
            </w:tcMar>
          </w:tcPr>
          <w:p w14:paraId="19130BD7"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Onboarded as EGI DataHub</w:t>
            </w:r>
          </w:p>
        </w:tc>
        <w:tc>
          <w:tcPr>
            <w:tcW w:w="3210" w:type="dxa"/>
            <w:shd w:val="clear" w:color="auto" w:fill="D9EAD3"/>
            <w:tcMar>
              <w:top w:w="100" w:type="dxa"/>
              <w:left w:w="100" w:type="dxa"/>
              <w:bottom w:w="100" w:type="dxa"/>
              <w:right w:w="100" w:type="dxa"/>
            </w:tcMar>
          </w:tcPr>
          <w:p w14:paraId="0ABA0722" w14:textId="77777777" w:rsidR="00BC388A" w:rsidRDefault="00140473">
            <w:pPr>
              <w:pBdr>
                <w:top w:val="nil"/>
                <w:left w:val="nil"/>
                <w:bottom w:val="nil"/>
                <w:right w:val="nil"/>
                <w:between w:val="nil"/>
              </w:pBdr>
              <w:spacing w:after="0" w:line="240" w:lineRule="auto"/>
              <w:rPr>
                <w:rFonts w:ascii="Calibri" w:eastAsia="Calibri" w:hAnsi="Calibri" w:cs="Calibri"/>
                <w:b/>
                <w:sz w:val="18"/>
                <w:szCs w:val="18"/>
              </w:rPr>
            </w:pPr>
            <w:r>
              <w:rPr>
                <w:rFonts w:ascii="Calibri" w:eastAsia="Calibri" w:hAnsi="Calibri" w:cs="Calibri"/>
                <w:b/>
                <w:sz w:val="18"/>
                <w:szCs w:val="18"/>
              </w:rPr>
              <w:t>In external catalogue</w:t>
            </w:r>
          </w:p>
        </w:tc>
      </w:tr>
      <w:tr w:rsidR="00BC388A" w14:paraId="5A37204C" w14:textId="77777777">
        <w:tc>
          <w:tcPr>
            <w:tcW w:w="2550" w:type="dxa"/>
            <w:shd w:val="clear" w:color="auto" w:fill="auto"/>
            <w:tcMar>
              <w:top w:w="100" w:type="dxa"/>
              <w:left w:w="100" w:type="dxa"/>
              <w:bottom w:w="100" w:type="dxa"/>
              <w:right w:w="100" w:type="dxa"/>
            </w:tcMar>
          </w:tcPr>
          <w:p w14:paraId="10F45535"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highlight w:val="white"/>
              </w:rPr>
              <w:t>FTS</w:t>
            </w:r>
          </w:p>
        </w:tc>
        <w:tc>
          <w:tcPr>
            <w:tcW w:w="3150" w:type="dxa"/>
            <w:shd w:val="clear" w:color="auto" w:fill="D9EAD3"/>
            <w:tcMar>
              <w:top w:w="100" w:type="dxa"/>
              <w:left w:w="100" w:type="dxa"/>
              <w:bottom w:w="100" w:type="dxa"/>
              <w:right w:w="100" w:type="dxa"/>
            </w:tcMar>
          </w:tcPr>
          <w:p w14:paraId="087595C5"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Onboarded as EGI Data Transfer</w:t>
            </w:r>
          </w:p>
        </w:tc>
        <w:tc>
          <w:tcPr>
            <w:tcW w:w="3210" w:type="dxa"/>
            <w:shd w:val="clear" w:color="auto" w:fill="D9EAD3"/>
            <w:tcMar>
              <w:top w:w="100" w:type="dxa"/>
              <w:left w:w="100" w:type="dxa"/>
              <w:bottom w:w="100" w:type="dxa"/>
              <w:right w:w="100" w:type="dxa"/>
            </w:tcMar>
          </w:tcPr>
          <w:p w14:paraId="21FF4CEF" w14:textId="77777777" w:rsidR="00BC388A" w:rsidRDefault="00140473">
            <w:pPr>
              <w:pBdr>
                <w:top w:val="nil"/>
                <w:left w:val="nil"/>
                <w:bottom w:val="nil"/>
                <w:right w:val="nil"/>
                <w:between w:val="nil"/>
              </w:pBdr>
              <w:spacing w:after="0" w:line="240" w:lineRule="auto"/>
              <w:rPr>
                <w:rFonts w:ascii="Calibri" w:eastAsia="Calibri" w:hAnsi="Calibri" w:cs="Calibri"/>
                <w:b/>
                <w:sz w:val="18"/>
                <w:szCs w:val="18"/>
              </w:rPr>
            </w:pPr>
            <w:r>
              <w:rPr>
                <w:rFonts w:ascii="Calibri" w:eastAsia="Calibri" w:hAnsi="Calibri" w:cs="Calibri"/>
                <w:b/>
                <w:sz w:val="18"/>
                <w:szCs w:val="18"/>
              </w:rPr>
              <w:t>In external catalogue (as Data Transfer)</w:t>
            </w:r>
          </w:p>
        </w:tc>
      </w:tr>
      <w:tr w:rsidR="00BC388A" w14:paraId="5D74A88F" w14:textId="77777777">
        <w:tc>
          <w:tcPr>
            <w:tcW w:w="2550" w:type="dxa"/>
            <w:shd w:val="clear" w:color="auto" w:fill="auto"/>
            <w:tcMar>
              <w:top w:w="100" w:type="dxa"/>
              <w:left w:w="100" w:type="dxa"/>
              <w:bottom w:w="100" w:type="dxa"/>
              <w:right w:w="100" w:type="dxa"/>
            </w:tcMar>
          </w:tcPr>
          <w:p w14:paraId="0FDEFBA6"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Rucio</w:t>
            </w:r>
          </w:p>
        </w:tc>
        <w:tc>
          <w:tcPr>
            <w:tcW w:w="3150" w:type="dxa"/>
            <w:shd w:val="clear" w:color="auto" w:fill="D9EAD3"/>
            <w:tcMar>
              <w:top w:w="100" w:type="dxa"/>
              <w:left w:w="100" w:type="dxa"/>
              <w:bottom w:w="100" w:type="dxa"/>
              <w:right w:w="100" w:type="dxa"/>
            </w:tcMar>
          </w:tcPr>
          <w:p w14:paraId="7868C254"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Onboarded as SCD STFC Rucio Data Management Service</w:t>
            </w:r>
          </w:p>
        </w:tc>
        <w:tc>
          <w:tcPr>
            <w:tcW w:w="3210" w:type="dxa"/>
            <w:shd w:val="clear" w:color="auto" w:fill="F4CCCC"/>
            <w:tcMar>
              <w:top w:w="100" w:type="dxa"/>
              <w:left w:w="100" w:type="dxa"/>
              <w:bottom w:w="100" w:type="dxa"/>
              <w:right w:w="100" w:type="dxa"/>
            </w:tcMar>
          </w:tcPr>
          <w:p w14:paraId="65F4051A"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in EGI catalogues (to be added to External portfolio as new service ‘Data Orchestrator’)</w:t>
            </w:r>
          </w:p>
        </w:tc>
      </w:tr>
      <w:tr w:rsidR="00BC388A" w14:paraId="3BBC0CDA" w14:textId="77777777">
        <w:tc>
          <w:tcPr>
            <w:tcW w:w="2550" w:type="dxa"/>
            <w:shd w:val="clear" w:color="auto" w:fill="auto"/>
            <w:tcMar>
              <w:top w:w="100" w:type="dxa"/>
              <w:left w:w="100" w:type="dxa"/>
              <w:bottom w:w="100" w:type="dxa"/>
              <w:right w:w="100" w:type="dxa"/>
            </w:tcMar>
          </w:tcPr>
          <w:p w14:paraId="5F73684A" w14:textId="77777777" w:rsidR="00BC388A" w:rsidRDefault="00140473">
            <w:pPr>
              <w:spacing w:after="0" w:line="240" w:lineRule="auto"/>
              <w:rPr>
                <w:rFonts w:ascii="Calibri" w:eastAsia="Calibri" w:hAnsi="Calibri" w:cs="Calibri"/>
                <w:b/>
                <w:sz w:val="18"/>
                <w:szCs w:val="18"/>
              </w:rPr>
            </w:pPr>
            <w:proofErr w:type="spellStart"/>
            <w:r>
              <w:rPr>
                <w:rFonts w:ascii="Calibri" w:eastAsia="Calibri" w:hAnsi="Calibri" w:cs="Calibri"/>
                <w:b/>
                <w:sz w:val="18"/>
                <w:szCs w:val="18"/>
              </w:rPr>
              <w:lastRenderedPageBreak/>
              <w:t>OpenRDM</w:t>
            </w:r>
            <w:proofErr w:type="spellEnd"/>
          </w:p>
        </w:tc>
        <w:tc>
          <w:tcPr>
            <w:tcW w:w="3150" w:type="dxa"/>
            <w:shd w:val="clear" w:color="auto" w:fill="D9EAD3"/>
            <w:tcMar>
              <w:top w:w="100" w:type="dxa"/>
              <w:left w:w="100" w:type="dxa"/>
              <w:bottom w:w="100" w:type="dxa"/>
              <w:right w:w="100" w:type="dxa"/>
            </w:tcMar>
          </w:tcPr>
          <w:p w14:paraId="6974BFC3"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 xml:space="preserve">Onboarded as </w:t>
            </w:r>
            <w:proofErr w:type="spellStart"/>
            <w:r>
              <w:rPr>
                <w:rFonts w:ascii="Calibri" w:eastAsia="Calibri" w:hAnsi="Calibri" w:cs="Calibri"/>
                <w:b/>
                <w:sz w:val="18"/>
                <w:szCs w:val="18"/>
              </w:rPr>
              <w:t>openRDM</w:t>
            </w:r>
            <w:proofErr w:type="spellEnd"/>
            <w:r>
              <w:rPr>
                <w:rFonts w:ascii="Calibri" w:eastAsia="Calibri" w:hAnsi="Calibri" w:cs="Calibri"/>
                <w:b/>
                <w:sz w:val="18"/>
                <w:szCs w:val="18"/>
              </w:rPr>
              <w:t xml:space="preserve"> EU</w:t>
            </w:r>
          </w:p>
        </w:tc>
        <w:tc>
          <w:tcPr>
            <w:tcW w:w="3210" w:type="dxa"/>
            <w:shd w:val="clear" w:color="auto" w:fill="F4CCCC"/>
            <w:tcMar>
              <w:top w:w="100" w:type="dxa"/>
              <w:left w:w="100" w:type="dxa"/>
              <w:bottom w:w="100" w:type="dxa"/>
              <w:right w:w="100" w:type="dxa"/>
            </w:tcMar>
          </w:tcPr>
          <w:p w14:paraId="3EED96B9"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 xml:space="preserve">Not in EGI catalogues </w:t>
            </w:r>
          </w:p>
        </w:tc>
      </w:tr>
      <w:tr w:rsidR="00BC388A" w14:paraId="640AF0D4" w14:textId="77777777">
        <w:tc>
          <w:tcPr>
            <w:tcW w:w="2550" w:type="dxa"/>
            <w:shd w:val="clear" w:color="auto" w:fill="auto"/>
            <w:tcMar>
              <w:top w:w="100" w:type="dxa"/>
              <w:left w:w="100" w:type="dxa"/>
              <w:bottom w:w="100" w:type="dxa"/>
              <w:right w:w="100" w:type="dxa"/>
            </w:tcMar>
          </w:tcPr>
          <w:p w14:paraId="3845D246"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CVMFS</w:t>
            </w:r>
          </w:p>
        </w:tc>
        <w:tc>
          <w:tcPr>
            <w:tcW w:w="3150" w:type="dxa"/>
            <w:shd w:val="clear" w:color="auto" w:fill="D9EAD3"/>
            <w:tcMar>
              <w:top w:w="100" w:type="dxa"/>
              <w:left w:w="100" w:type="dxa"/>
              <w:bottom w:w="100" w:type="dxa"/>
              <w:right w:w="100" w:type="dxa"/>
            </w:tcMar>
          </w:tcPr>
          <w:p w14:paraId="69A0A16B"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Onboarded as STFC CVMFS Content Distribution Service</w:t>
            </w:r>
          </w:p>
        </w:tc>
        <w:tc>
          <w:tcPr>
            <w:tcW w:w="3210" w:type="dxa"/>
            <w:shd w:val="clear" w:color="auto" w:fill="F4CCCC"/>
            <w:tcMar>
              <w:top w:w="100" w:type="dxa"/>
              <w:left w:w="100" w:type="dxa"/>
              <w:bottom w:w="100" w:type="dxa"/>
              <w:right w:w="100" w:type="dxa"/>
            </w:tcMar>
          </w:tcPr>
          <w:p w14:paraId="525D657B"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 xml:space="preserve">Not in EGI catalogue, but is in Alpha state in the external service portfolio as ‘Content distribution’ service </w:t>
            </w:r>
          </w:p>
        </w:tc>
      </w:tr>
      <w:tr w:rsidR="00BC388A" w14:paraId="4DBC69C4" w14:textId="77777777">
        <w:trPr>
          <w:trHeight w:val="380"/>
        </w:trPr>
        <w:tc>
          <w:tcPr>
            <w:tcW w:w="8910" w:type="dxa"/>
            <w:gridSpan w:val="3"/>
            <w:shd w:val="clear" w:color="auto" w:fill="CFE2F3"/>
          </w:tcPr>
          <w:p w14:paraId="12C5EA5B"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EOSC Compute Platform: Platform services</w:t>
            </w:r>
          </w:p>
        </w:tc>
      </w:tr>
      <w:tr w:rsidR="00BC388A" w14:paraId="00D9346B" w14:textId="77777777">
        <w:tc>
          <w:tcPr>
            <w:tcW w:w="2550" w:type="dxa"/>
            <w:shd w:val="clear" w:color="auto" w:fill="auto"/>
            <w:tcMar>
              <w:top w:w="100" w:type="dxa"/>
              <w:left w:w="100" w:type="dxa"/>
              <w:bottom w:w="100" w:type="dxa"/>
              <w:right w:w="100" w:type="dxa"/>
            </w:tcMar>
          </w:tcPr>
          <w:p w14:paraId="503273B2"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EC3</w:t>
            </w:r>
          </w:p>
        </w:tc>
        <w:tc>
          <w:tcPr>
            <w:tcW w:w="3150" w:type="dxa"/>
            <w:shd w:val="clear" w:color="auto" w:fill="D9EAD3"/>
            <w:tcMar>
              <w:top w:w="100" w:type="dxa"/>
              <w:left w:w="100" w:type="dxa"/>
              <w:bottom w:w="100" w:type="dxa"/>
              <w:right w:w="100" w:type="dxa"/>
            </w:tcMar>
          </w:tcPr>
          <w:p w14:paraId="3A8D584B" w14:textId="77777777" w:rsidR="00BC388A" w:rsidRDefault="00140473">
            <w:pPr>
              <w:rPr>
                <w:rFonts w:ascii="Calibri" w:eastAsia="Calibri" w:hAnsi="Calibri" w:cs="Calibri"/>
                <w:b/>
                <w:sz w:val="18"/>
                <w:szCs w:val="18"/>
              </w:rPr>
            </w:pPr>
            <w:r>
              <w:rPr>
                <w:rFonts w:ascii="Calibri" w:eastAsia="Calibri" w:hAnsi="Calibri" w:cs="Calibri"/>
                <w:b/>
                <w:sz w:val="18"/>
                <w:szCs w:val="18"/>
              </w:rPr>
              <w:t>Onboarded as Elastic Cloud Compute Cluster (EC3)</w:t>
            </w:r>
          </w:p>
        </w:tc>
        <w:tc>
          <w:tcPr>
            <w:tcW w:w="3210" w:type="dxa"/>
            <w:shd w:val="clear" w:color="auto" w:fill="F4CCCC"/>
            <w:tcMar>
              <w:top w:w="100" w:type="dxa"/>
              <w:left w:w="100" w:type="dxa"/>
              <w:bottom w:w="100" w:type="dxa"/>
              <w:right w:w="100" w:type="dxa"/>
            </w:tcMar>
          </w:tcPr>
          <w:p w14:paraId="5B810CE9"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in EGI catalogues</w:t>
            </w:r>
          </w:p>
        </w:tc>
      </w:tr>
      <w:tr w:rsidR="00BC388A" w14:paraId="0002BC3D" w14:textId="77777777">
        <w:tc>
          <w:tcPr>
            <w:tcW w:w="2550" w:type="dxa"/>
            <w:shd w:val="clear" w:color="auto" w:fill="auto"/>
            <w:tcMar>
              <w:top w:w="100" w:type="dxa"/>
              <w:left w:w="100" w:type="dxa"/>
              <w:bottom w:w="100" w:type="dxa"/>
              <w:right w:w="100" w:type="dxa"/>
            </w:tcMar>
          </w:tcPr>
          <w:p w14:paraId="27BCA452"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highlight w:val="white"/>
              </w:rPr>
              <w:t xml:space="preserve">Infrastructure Manager </w:t>
            </w:r>
          </w:p>
        </w:tc>
        <w:tc>
          <w:tcPr>
            <w:tcW w:w="3150" w:type="dxa"/>
            <w:shd w:val="clear" w:color="auto" w:fill="D9EAD3"/>
            <w:tcMar>
              <w:top w:w="100" w:type="dxa"/>
              <w:left w:w="100" w:type="dxa"/>
              <w:bottom w:w="100" w:type="dxa"/>
              <w:right w:w="100" w:type="dxa"/>
            </w:tcMar>
          </w:tcPr>
          <w:p w14:paraId="0AF8A128" w14:textId="77777777" w:rsidR="00BC388A" w:rsidRDefault="00140473">
            <w:pPr>
              <w:spacing w:after="0" w:line="240" w:lineRule="auto"/>
              <w:rPr>
                <w:rFonts w:ascii="Calibri" w:eastAsia="Calibri" w:hAnsi="Calibri" w:cs="Calibri"/>
                <w:sz w:val="18"/>
                <w:szCs w:val="18"/>
              </w:rPr>
            </w:pPr>
            <w:r>
              <w:rPr>
                <w:rFonts w:ascii="Calibri" w:eastAsia="Calibri" w:hAnsi="Calibri" w:cs="Calibri"/>
                <w:b/>
                <w:sz w:val="18"/>
                <w:szCs w:val="18"/>
              </w:rPr>
              <w:t>Onboarded as Infrastructure Manager (IM)</w:t>
            </w:r>
          </w:p>
        </w:tc>
        <w:tc>
          <w:tcPr>
            <w:tcW w:w="3210" w:type="dxa"/>
            <w:shd w:val="clear" w:color="auto" w:fill="F4CCCC"/>
            <w:tcMar>
              <w:top w:w="100" w:type="dxa"/>
              <w:left w:w="100" w:type="dxa"/>
              <w:bottom w:w="100" w:type="dxa"/>
              <w:right w:w="100" w:type="dxa"/>
            </w:tcMar>
          </w:tcPr>
          <w:p w14:paraId="7F4B1F75"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in EGI catalogues</w:t>
            </w:r>
          </w:p>
        </w:tc>
      </w:tr>
      <w:tr w:rsidR="00BC388A" w14:paraId="79F9E342" w14:textId="77777777">
        <w:tc>
          <w:tcPr>
            <w:tcW w:w="2550" w:type="dxa"/>
            <w:shd w:val="clear" w:color="auto" w:fill="auto"/>
            <w:tcMar>
              <w:top w:w="100" w:type="dxa"/>
              <w:left w:w="100" w:type="dxa"/>
              <w:bottom w:w="100" w:type="dxa"/>
              <w:right w:w="100" w:type="dxa"/>
            </w:tcMar>
          </w:tcPr>
          <w:p w14:paraId="03FC1B3F"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highlight w:val="white"/>
              </w:rPr>
              <w:t>DODAS</w:t>
            </w:r>
          </w:p>
        </w:tc>
        <w:tc>
          <w:tcPr>
            <w:tcW w:w="3150" w:type="dxa"/>
            <w:shd w:val="clear" w:color="auto" w:fill="D9EAD3"/>
            <w:tcMar>
              <w:top w:w="100" w:type="dxa"/>
              <w:left w:w="100" w:type="dxa"/>
              <w:bottom w:w="100" w:type="dxa"/>
              <w:right w:w="100" w:type="dxa"/>
            </w:tcMar>
          </w:tcPr>
          <w:p w14:paraId="79AE045F" w14:textId="77777777" w:rsidR="00BC388A" w:rsidRDefault="00140473">
            <w:pPr>
              <w:spacing w:line="240" w:lineRule="auto"/>
              <w:jc w:val="left"/>
              <w:rPr>
                <w:rFonts w:ascii="Calibri" w:eastAsia="Calibri" w:hAnsi="Calibri" w:cs="Calibri"/>
                <w:b/>
                <w:sz w:val="18"/>
                <w:szCs w:val="18"/>
                <w:highlight w:val="white"/>
              </w:rPr>
            </w:pPr>
            <w:r>
              <w:rPr>
                <w:rFonts w:ascii="Calibri" w:eastAsia="Calibri" w:hAnsi="Calibri" w:cs="Calibri"/>
                <w:b/>
                <w:color w:val="000000"/>
                <w:sz w:val="18"/>
                <w:szCs w:val="18"/>
              </w:rPr>
              <w:t>Onboarded as Dynamic On Demand Analysis Service (DODAS Portal)</w:t>
            </w:r>
          </w:p>
        </w:tc>
        <w:tc>
          <w:tcPr>
            <w:tcW w:w="3210" w:type="dxa"/>
            <w:shd w:val="clear" w:color="auto" w:fill="F4CCCC"/>
            <w:tcMar>
              <w:top w:w="100" w:type="dxa"/>
              <w:left w:w="100" w:type="dxa"/>
              <w:bottom w:w="100" w:type="dxa"/>
              <w:right w:w="100" w:type="dxa"/>
            </w:tcMar>
          </w:tcPr>
          <w:p w14:paraId="23EA98F0"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in EGI catalogues</w:t>
            </w:r>
          </w:p>
        </w:tc>
      </w:tr>
      <w:tr w:rsidR="00BC388A" w14:paraId="6B5C674C" w14:textId="77777777">
        <w:tc>
          <w:tcPr>
            <w:tcW w:w="2550" w:type="dxa"/>
            <w:shd w:val="clear" w:color="auto" w:fill="auto"/>
            <w:tcMar>
              <w:top w:w="100" w:type="dxa"/>
              <w:left w:w="100" w:type="dxa"/>
              <w:bottom w:w="100" w:type="dxa"/>
              <w:right w:w="100" w:type="dxa"/>
            </w:tcMar>
          </w:tcPr>
          <w:p w14:paraId="02906466"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highlight w:val="white"/>
              </w:rPr>
              <w:t>EGI Workload Manager (DIRAC)</w:t>
            </w:r>
          </w:p>
        </w:tc>
        <w:tc>
          <w:tcPr>
            <w:tcW w:w="3150" w:type="dxa"/>
            <w:shd w:val="clear" w:color="auto" w:fill="D9EAD3"/>
            <w:tcMar>
              <w:top w:w="100" w:type="dxa"/>
              <w:left w:w="100" w:type="dxa"/>
              <w:bottom w:w="100" w:type="dxa"/>
              <w:right w:w="100" w:type="dxa"/>
            </w:tcMar>
          </w:tcPr>
          <w:p w14:paraId="7868559F" w14:textId="1E39D7B2"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Onboarded as EGI Workload Manager</w:t>
            </w:r>
          </w:p>
        </w:tc>
        <w:tc>
          <w:tcPr>
            <w:tcW w:w="3210" w:type="dxa"/>
            <w:shd w:val="clear" w:color="auto" w:fill="D9EAD3"/>
            <w:tcMar>
              <w:top w:w="100" w:type="dxa"/>
              <w:left w:w="100" w:type="dxa"/>
              <w:bottom w:w="100" w:type="dxa"/>
              <w:right w:w="100" w:type="dxa"/>
            </w:tcMar>
          </w:tcPr>
          <w:p w14:paraId="55A9BA49"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In external catalogue</w:t>
            </w:r>
          </w:p>
        </w:tc>
      </w:tr>
      <w:tr w:rsidR="00BC388A" w14:paraId="111F8DAF" w14:textId="77777777">
        <w:tc>
          <w:tcPr>
            <w:tcW w:w="2550" w:type="dxa"/>
            <w:shd w:val="clear" w:color="auto" w:fill="auto"/>
            <w:tcMar>
              <w:top w:w="100" w:type="dxa"/>
              <w:left w:w="100" w:type="dxa"/>
              <w:bottom w:w="100" w:type="dxa"/>
              <w:right w:w="100" w:type="dxa"/>
            </w:tcMar>
          </w:tcPr>
          <w:p w14:paraId="52F3B436"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EGI Notebooks</w:t>
            </w:r>
          </w:p>
        </w:tc>
        <w:tc>
          <w:tcPr>
            <w:tcW w:w="3150" w:type="dxa"/>
            <w:shd w:val="clear" w:color="auto" w:fill="D9EAD3"/>
            <w:tcMar>
              <w:top w:w="100" w:type="dxa"/>
              <w:left w:w="100" w:type="dxa"/>
              <w:bottom w:w="100" w:type="dxa"/>
              <w:right w:w="100" w:type="dxa"/>
            </w:tcMar>
          </w:tcPr>
          <w:p w14:paraId="6A556125"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Onboarded as EGI Notebooks</w:t>
            </w:r>
          </w:p>
        </w:tc>
        <w:tc>
          <w:tcPr>
            <w:tcW w:w="3210" w:type="dxa"/>
            <w:shd w:val="clear" w:color="auto" w:fill="D9EAD3"/>
            <w:tcMar>
              <w:top w:w="100" w:type="dxa"/>
              <w:left w:w="100" w:type="dxa"/>
              <w:bottom w:w="100" w:type="dxa"/>
              <w:right w:w="100" w:type="dxa"/>
            </w:tcMar>
          </w:tcPr>
          <w:p w14:paraId="687CA700"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In external catalogue</w:t>
            </w:r>
          </w:p>
        </w:tc>
      </w:tr>
      <w:tr w:rsidR="00BC388A" w14:paraId="06059FC6" w14:textId="77777777">
        <w:tc>
          <w:tcPr>
            <w:tcW w:w="2550" w:type="dxa"/>
            <w:shd w:val="clear" w:color="auto" w:fill="auto"/>
            <w:tcMar>
              <w:top w:w="100" w:type="dxa"/>
              <w:left w:w="100" w:type="dxa"/>
              <w:bottom w:w="100" w:type="dxa"/>
              <w:right w:w="100" w:type="dxa"/>
            </w:tcMar>
          </w:tcPr>
          <w:p w14:paraId="028B2E85"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Binder</w:t>
            </w:r>
          </w:p>
        </w:tc>
        <w:tc>
          <w:tcPr>
            <w:tcW w:w="3150" w:type="dxa"/>
            <w:shd w:val="clear" w:color="auto" w:fill="F4CCCC"/>
            <w:tcMar>
              <w:top w:w="100" w:type="dxa"/>
              <w:left w:w="100" w:type="dxa"/>
              <w:bottom w:w="100" w:type="dxa"/>
              <w:right w:w="100" w:type="dxa"/>
            </w:tcMar>
          </w:tcPr>
          <w:p w14:paraId="308463C8"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yet</w:t>
            </w:r>
          </w:p>
        </w:tc>
        <w:tc>
          <w:tcPr>
            <w:tcW w:w="3210" w:type="dxa"/>
            <w:shd w:val="clear" w:color="auto" w:fill="F4CCCC"/>
            <w:tcMar>
              <w:top w:w="100" w:type="dxa"/>
              <w:left w:w="100" w:type="dxa"/>
              <w:bottom w:w="100" w:type="dxa"/>
              <w:right w:w="100" w:type="dxa"/>
            </w:tcMar>
          </w:tcPr>
          <w:p w14:paraId="61F4C3BA"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in EGI catalogues</w:t>
            </w:r>
          </w:p>
        </w:tc>
      </w:tr>
      <w:tr w:rsidR="00BC388A" w14:paraId="3065EA11" w14:textId="77777777">
        <w:tc>
          <w:tcPr>
            <w:tcW w:w="2550" w:type="dxa"/>
            <w:shd w:val="clear" w:color="auto" w:fill="auto"/>
            <w:tcMar>
              <w:top w:w="100" w:type="dxa"/>
              <w:left w:w="100" w:type="dxa"/>
              <w:bottom w:w="100" w:type="dxa"/>
              <w:right w:w="100" w:type="dxa"/>
            </w:tcMar>
          </w:tcPr>
          <w:p w14:paraId="20CF234F"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Indigo PaaS Orchestrator (TOSCA)</w:t>
            </w:r>
          </w:p>
        </w:tc>
        <w:tc>
          <w:tcPr>
            <w:tcW w:w="3150" w:type="dxa"/>
            <w:shd w:val="clear" w:color="auto" w:fill="D9EAD3"/>
            <w:tcMar>
              <w:top w:w="100" w:type="dxa"/>
              <w:left w:w="100" w:type="dxa"/>
              <w:bottom w:w="100" w:type="dxa"/>
              <w:right w:w="100" w:type="dxa"/>
            </w:tcMar>
          </w:tcPr>
          <w:p w14:paraId="458A3FE7" w14:textId="77777777" w:rsidR="00BC388A" w:rsidRDefault="00140473">
            <w:pPr>
              <w:rPr>
                <w:rFonts w:ascii="Calibri" w:eastAsia="Calibri" w:hAnsi="Calibri" w:cs="Calibri"/>
                <w:b/>
                <w:color w:val="000000"/>
                <w:sz w:val="18"/>
                <w:szCs w:val="18"/>
              </w:rPr>
            </w:pPr>
            <w:r>
              <w:rPr>
                <w:rFonts w:ascii="Calibri" w:eastAsia="Calibri" w:hAnsi="Calibri" w:cs="Calibri"/>
                <w:b/>
                <w:color w:val="000000"/>
                <w:sz w:val="18"/>
                <w:szCs w:val="18"/>
              </w:rPr>
              <w:t>Onboarded as PaaS Orchestrator</w:t>
            </w:r>
          </w:p>
        </w:tc>
        <w:tc>
          <w:tcPr>
            <w:tcW w:w="3210" w:type="dxa"/>
            <w:shd w:val="clear" w:color="auto" w:fill="F4CCCC"/>
            <w:tcMar>
              <w:top w:w="100" w:type="dxa"/>
              <w:left w:w="100" w:type="dxa"/>
              <w:bottom w:w="100" w:type="dxa"/>
              <w:right w:w="100" w:type="dxa"/>
            </w:tcMar>
          </w:tcPr>
          <w:p w14:paraId="63C24F37"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in EGI catalogues</w:t>
            </w:r>
          </w:p>
        </w:tc>
      </w:tr>
      <w:tr w:rsidR="00BC388A" w14:paraId="57483303" w14:textId="77777777">
        <w:tc>
          <w:tcPr>
            <w:tcW w:w="2550" w:type="dxa"/>
            <w:shd w:val="clear" w:color="auto" w:fill="auto"/>
            <w:tcMar>
              <w:top w:w="100" w:type="dxa"/>
              <w:left w:w="100" w:type="dxa"/>
              <w:bottom w:w="100" w:type="dxa"/>
              <w:right w:w="100" w:type="dxa"/>
            </w:tcMar>
          </w:tcPr>
          <w:p w14:paraId="50D15608"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DEEP training solution</w:t>
            </w:r>
          </w:p>
        </w:tc>
        <w:tc>
          <w:tcPr>
            <w:tcW w:w="3150" w:type="dxa"/>
            <w:shd w:val="clear" w:color="auto" w:fill="D9EAD3"/>
            <w:tcMar>
              <w:top w:w="100" w:type="dxa"/>
              <w:left w:w="100" w:type="dxa"/>
              <w:bottom w:w="100" w:type="dxa"/>
              <w:right w:w="100" w:type="dxa"/>
            </w:tcMar>
          </w:tcPr>
          <w:p w14:paraId="09DE522B" w14:textId="77777777" w:rsidR="00BC388A" w:rsidRDefault="00140473">
            <w:pPr>
              <w:rPr>
                <w:rFonts w:ascii="Calibri" w:eastAsia="Calibri" w:hAnsi="Calibri" w:cs="Calibri"/>
                <w:sz w:val="18"/>
                <w:szCs w:val="18"/>
              </w:rPr>
            </w:pPr>
            <w:r>
              <w:rPr>
                <w:rFonts w:ascii="Calibri" w:eastAsia="Calibri" w:hAnsi="Calibri" w:cs="Calibri"/>
                <w:b/>
                <w:color w:val="000000"/>
                <w:sz w:val="18"/>
                <w:szCs w:val="18"/>
              </w:rPr>
              <w:t>Onboarded as DEEP training facility</w:t>
            </w:r>
          </w:p>
        </w:tc>
        <w:tc>
          <w:tcPr>
            <w:tcW w:w="3210" w:type="dxa"/>
            <w:shd w:val="clear" w:color="auto" w:fill="F4CCCC"/>
            <w:tcMar>
              <w:top w:w="100" w:type="dxa"/>
              <w:left w:w="100" w:type="dxa"/>
              <w:bottom w:w="100" w:type="dxa"/>
              <w:right w:w="100" w:type="dxa"/>
            </w:tcMar>
          </w:tcPr>
          <w:p w14:paraId="3102E642"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in EGI catalogues</w:t>
            </w:r>
          </w:p>
        </w:tc>
      </w:tr>
      <w:tr w:rsidR="00BC388A" w14:paraId="4E757729" w14:textId="77777777">
        <w:trPr>
          <w:trHeight w:val="380"/>
        </w:trPr>
        <w:tc>
          <w:tcPr>
            <w:tcW w:w="8910" w:type="dxa"/>
            <w:gridSpan w:val="3"/>
            <w:shd w:val="clear" w:color="auto" w:fill="CFE2F3"/>
          </w:tcPr>
          <w:p w14:paraId="07D9ED69"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Service Management Tools</w:t>
            </w:r>
          </w:p>
        </w:tc>
      </w:tr>
      <w:tr w:rsidR="00BC388A" w14:paraId="3B3CCC88" w14:textId="77777777">
        <w:trPr>
          <w:trHeight w:val="380"/>
        </w:trPr>
        <w:tc>
          <w:tcPr>
            <w:tcW w:w="2550" w:type="dxa"/>
            <w:shd w:val="clear" w:color="auto" w:fill="auto"/>
            <w:tcMar>
              <w:top w:w="100" w:type="dxa"/>
              <w:left w:w="100" w:type="dxa"/>
              <w:bottom w:w="100" w:type="dxa"/>
              <w:right w:w="100" w:type="dxa"/>
            </w:tcMar>
          </w:tcPr>
          <w:p w14:paraId="0B694B92"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Check-in</w:t>
            </w:r>
          </w:p>
        </w:tc>
        <w:tc>
          <w:tcPr>
            <w:tcW w:w="3150" w:type="dxa"/>
            <w:shd w:val="clear" w:color="auto" w:fill="D9EAD3"/>
            <w:tcMar>
              <w:top w:w="100" w:type="dxa"/>
              <w:left w:w="100" w:type="dxa"/>
              <w:bottom w:w="100" w:type="dxa"/>
              <w:right w:w="100" w:type="dxa"/>
            </w:tcMar>
          </w:tcPr>
          <w:p w14:paraId="6184D430"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Onboarded as EGI Check-in</w:t>
            </w:r>
          </w:p>
        </w:tc>
        <w:tc>
          <w:tcPr>
            <w:tcW w:w="3210" w:type="dxa"/>
            <w:shd w:val="clear" w:color="auto" w:fill="D9EAD3"/>
            <w:tcMar>
              <w:top w:w="100" w:type="dxa"/>
              <w:left w:w="100" w:type="dxa"/>
              <w:bottom w:w="100" w:type="dxa"/>
              <w:right w:w="100" w:type="dxa"/>
            </w:tcMar>
          </w:tcPr>
          <w:p w14:paraId="3FCD1F76"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In external and internal catalogues</w:t>
            </w:r>
          </w:p>
        </w:tc>
      </w:tr>
      <w:tr w:rsidR="00BC388A" w14:paraId="04F5B19B" w14:textId="77777777">
        <w:trPr>
          <w:trHeight w:val="380"/>
        </w:trPr>
        <w:tc>
          <w:tcPr>
            <w:tcW w:w="2550" w:type="dxa"/>
            <w:shd w:val="clear" w:color="auto" w:fill="auto"/>
            <w:tcMar>
              <w:top w:w="100" w:type="dxa"/>
              <w:left w:w="100" w:type="dxa"/>
              <w:bottom w:w="100" w:type="dxa"/>
              <w:right w:w="100" w:type="dxa"/>
            </w:tcMar>
          </w:tcPr>
          <w:p w14:paraId="267F4F01"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ARGO Messaging Service (AMS)</w:t>
            </w:r>
          </w:p>
        </w:tc>
        <w:tc>
          <w:tcPr>
            <w:tcW w:w="3150" w:type="dxa"/>
            <w:tcMar>
              <w:top w:w="100" w:type="dxa"/>
              <w:left w:w="100" w:type="dxa"/>
              <w:bottom w:w="100" w:type="dxa"/>
              <w:right w:w="100" w:type="dxa"/>
            </w:tcMar>
          </w:tcPr>
          <w:p w14:paraId="7D06ABC8"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Onboarded as EGI Operational Tools and delivered by EOSC Future</w:t>
            </w:r>
          </w:p>
        </w:tc>
        <w:tc>
          <w:tcPr>
            <w:tcW w:w="3210" w:type="dxa"/>
            <w:shd w:val="clear" w:color="auto" w:fill="D9EAD3"/>
            <w:tcMar>
              <w:top w:w="100" w:type="dxa"/>
              <w:left w:w="100" w:type="dxa"/>
              <w:bottom w:w="100" w:type="dxa"/>
              <w:right w:w="100" w:type="dxa"/>
            </w:tcMar>
          </w:tcPr>
          <w:p w14:paraId="03F9105F"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In internal catalogue</w:t>
            </w:r>
          </w:p>
        </w:tc>
      </w:tr>
      <w:tr w:rsidR="00BC388A" w14:paraId="4AB35067" w14:textId="77777777">
        <w:trPr>
          <w:trHeight w:val="450"/>
        </w:trPr>
        <w:tc>
          <w:tcPr>
            <w:tcW w:w="2550" w:type="dxa"/>
            <w:shd w:val="clear" w:color="auto" w:fill="auto"/>
            <w:tcMar>
              <w:top w:w="100" w:type="dxa"/>
              <w:left w:w="100" w:type="dxa"/>
              <w:bottom w:w="100" w:type="dxa"/>
              <w:right w:w="100" w:type="dxa"/>
            </w:tcMar>
          </w:tcPr>
          <w:p w14:paraId="60AB3769"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ARGO Monitoring Service</w:t>
            </w:r>
          </w:p>
        </w:tc>
        <w:tc>
          <w:tcPr>
            <w:tcW w:w="3150" w:type="dxa"/>
            <w:tcMar>
              <w:top w:w="100" w:type="dxa"/>
              <w:left w:w="100" w:type="dxa"/>
              <w:bottom w:w="100" w:type="dxa"/>
              <w:right w:w="100" w:type="dxa"/>
            </w:tcMar>
          </w:tcPr>
          <w:p w14:paraId="2379A883" w14:textId="77777777" w:rsidR="00BC388A" w:rsidRDefault="00140473">
            <w:pPr>
              <w:jc w:val="left"/>
              <w:rPr>
                <w:rFonts w:ascii="Calibri" w:eastAsia="Calibri" w:hAnsi="Calibri" w:cs="Calibri"/>
                <w:b/>
                <w:sz w:val="18"/>
                <w:szCs w:val="18"/>
              </w:rPr>
            </w:pPr>
            <w:r>
              <w:rPr>
                <w:rFonts w:ascii="Calibri" w:eastAsia="Calibri" w:hAnsi="Calibri" w:cs="Calibri"/>
                <w:b/>
                <w:sz w:val="18"/>
                <w:szCs w:val="18"/>
              </w:rPr>
              <w:t>Onboarded as EGI Service Monitoring and delivered by EOSC Future</w:t>
            </w:r>
          </w:p>
        </w:tc>
        <w:tc>
          <w:tcPr>
            <w:tcW w:w="3210" w:type="dxa"/>
            <w:shd w:val="clear" w:color="auto" w:fill="D9EAD3"/>
            <w:tcMar>
              <w:top w:w="100" w:type="dxa"/>
              <w:left w:w="100" w:type="dxa"/>
              <w:bottom w:w="100" w:type="dxa"/>
              <w:right w:w="100" w:type="dxa"/>
            </w:tcMar>
          </w:tcPr>
          <w:p w14:paraId="0D427C9D"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In internal catalogue</w:t>
            </w:r>
          </w:p>
        </w:tc>
      </w:tr>
      <w:tr w:rsidR="00BC388A" w14:paraId="02DEA15C" w14:textId="77777777">
        <w:trPr>
          <w:trHeight w:val="380"/>
        </w:trPr>
        <w:tc>
          <w:tcPr>
            <w:tcW w:w="2550" w:type="dxa"/>
            <w:shd w:val="clear" w:color="auto" w:fill="auto"/>
            <w:tcMar>
              <w:top w:w="100" w:type="dxa"/>
              <w:left w:w="100" w:type="dxa"/>
              <w:bottom w:w="100" w:type="dxa"/>
              <w:right w:w="100" w:type="dxa"/>
            </w:tcMar>
          </w:tcPr>
          <w:p w14:paraId="5C205030"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GGUS Helpdesk Service</w:t>
            </w:r>
          </w:p>
        </w:tc>
        <w:tc>
          <w:tcPr>
            <w:tcW w:w="3150" w:type="dxa"/>
            <w:tcMar>
              <w:top w:w="100" w:type="dxa"/>
              <w:left w:w="100" w:type="dxa"/>
              <w:bottom w:w="100" w:type="dxa"/>
              <w:right w:w="100" w:type="dxa"/>
            </w:tcMar>
          </w:tcPr>
          <w:p w14:paraId="5EB13A4C"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Onboarded as EGI Helpdesk and delivered by EOSC Future</w:t>
            </w:r>
          </w:p>
        </w:tc>
        <w:tc>
          <w:tcPr>
            <w:tcW w:w="3210" w:type="dxa"/>
            <w:shd w:val="clear" w:color="auto" w:fill="D9EAD3"/>
            <w:tcMar>
              <w:top w:w="100" w:type="dxa"/>
              <w:left w:w="100" w:type="dxa"/>
              <w:bottom w:w="100" w:type="dxa"/>
              <w:right w:w="100" w:type="dxa"/>
            </w:tcMar>
          </w:tcPr>
          <w:p w14:paraId="50164EEC"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In internal catalogue</w:t>
            </w:r>
          </w:p>
        </w:tc>
      </w:tr>
      <w:tr w:rsidR="00BC388A" w14:paraId="202C9A6C" w14:textId="77777777">
        <w:trPr>
          <w:trHeight w:val="380"/>
        </w:trPr>
        <w:tc>
          <w:tcPr>
            <w:tcW w:w="2550" w:type="dxa"/>
            <w:shd w:val="clear" w:color="auto" w:fill="auto"/>
            <w:tcMar>
              <w:top w:w="100" w:type="dxa"/>
              <w:left w:w="100" w:type="dxa"/>
              <w:bottom w:w="100" w:type="dxa"/>
              <w:right w:w="100" w:type="dxa"/>
            </w:tcMar>
          </w:tcPr>
          <w:p w14:paraId="31E0EFEF"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GOCDB Configuration database</w:t>
            </w:r>
          </w:p>
        </w:tc>
        <w:tc>
          <w:tcPr>
            <w:tcW w:w="3150" w:type="dxa"/>
            <w:tcMar>
              <w:top w:w="100" w:type="dxa"/>
              <w:left w:w="100" w:type="dxa"/>
              <w:bottom w:w="100" w:type="dxa"/>
              <w:right w:w="100" w:type="dxa"/>
            </w:tcMar>
          </w:tcPr>
          <w:p w14:paraId="1D616F6F"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Onboarded as EGI Configuration Database and delivered by EOSC Future</w:t>
            </w:r>
          </w:p>
        </w:tc>
        <w:tc>
          <w:tcPr>
            <w:tcW w:w="3210" w:type="dxa"/>
            <w:shd w:val="clear" w:color="auto" w:fill="D9EAD3"/>
            <w:tcMar>
              <w:top w:w="100" w:type="dxa"/>
              <w:left w:w="100" w:type="dxa"/>
              <w:bottom w:w="100" w:type="dxa"/>
              <w:right w:w="100" w:type="dxa"/>
            </w:tcMar>
          </w:tcPr>
          <w:p w14:paraId="3DFCA401"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In internal catalogue</w:t>
            </w:r>
          </w:p>
        </w:tc>
      </w:tr>
      <w:tr w:rsidR="00BC388A" w14:paraId="4BF70A88" w14:textId="77777777">
        <w:trPr>
          <w:trHeight w:val="380"/>
        </w:trPr>
        <w:tc>
          <w:tcPr>
            <w:tcW w:w="2550" w:type="dxa"/>
            <w:shd w:val="clear" w:color="auto" w:fill="auto"/>
            <w:tcMar>
              <w:top w:w="100" w:type="dxa"/>
              <w:left w:w="100" w:type="dxa"/>
              <w:bottom w:w="100" w:type="dxa"/>
              <w:right w:w="100" w:type="dxa"/>
            </w:tcMar>
          </w:tcPr>
          <w:p w14:paraId="6A2CF5D3"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Operations Portal</w:t>
            </w:r>
          </w:p>
        </w:tc>
        <w:tc>
          <w:tcPr>
            <w:tcW w:w="3150" w:type="dxa"/>
            <w:tcMar>
              <w:top w:w="100" w:type="dxa"/>
              <w:left w:w="100" w:type="dxa"/>
              <w:bottom w:w="100" w:type="dxa"/>
              <w:right w:w="100" w:type="dxa"/>
            </w:tcMar>
          </w:tcPr>
          <w:p w14:paraId="59DFA2A0"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Onboarded as EGI Operational Tools and delivered by EOSC Future</w:t>
            </w:r>
          </w:p>
          <w:p w14:paraId="736EC171" w14:textId="77777777" w:rsidR="00BC388A" w:rsidRDefault="00BC388A">
            <w:pPr>
              <w:spacing w:after="0" w:line="240" w:lineRule="auto"/>
              <w:rPr>
                <w:rFonts w:ascii="Calibri" w:eastAsia="Calibri" w:hAnsi="Calibri" w:cs="Calibri"/>
                <w:b/>
                <w:sz w:val="18"/>
                <w:szCs w:val="18"/>
              </w:rPr>
            </w:pPr>
          </w:p>
        </w:tc>
        <w:tc>
          <w:tcPr>
            <w:tcW w:w="3210" w:type="dxa"/>
            <w:shd w:val="clear" w:color="auto" w:fill="D9EAD3"/>
            <w:tcMar>
              <w:top w:w="100" w:type="dxa"/>
              <w:left w:w="100" w:type="dxa"/>
              <w:bottom w:w="100" w:type="dxa"/>
              <w:right w:w="100" w:type="dxa"/>
            </w:tcMar>
          </w:tcPr>
          <w:p w14:paraId="7B000CC6"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In internal catalogue</w:t>
            </w:r>
          </w:p>
        </w:tc>
      </w:tr>
      <w:tr w:rsidR="00BC388A" w14:paraId="25EEDC78" w14:textId="77777777">
        <w:trPr>
          <w:trHeight w:val="380"/>
        </w:trPr>
        <w:tc>
          <w:tcPr>
            <w:tcW w:w="2550" w:type="dxa"/>
            <w:shd w:val="clear" w:color="auto" w:fill="auto"/>
            <w:tcMar>
              <w:top w:w="100" w:type="dxa"/>
              <w:left w:w="100" w:type="dxa"/>
              <w:bottom w:w="100" w:type="dxa"/>
              <w:right w:w="100" w:type="dxa"/>
            </w:tcMar>
          </w:tcPr>
          <w:p w14:paraId="5F5BCDF5"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Software Provisioning Infrastructure</w:t>
            </w:r>
          </w:p>
        </w:tc>
        <w:tc>
          <w:tcPr>
            <w:tcW w:w="3150" w:type="dxa"/>
            <w:tcMar>
              <w:top w:w="100" w:type="dxa"/>
              <w:left w:w="100" w:type="dxa"/>
              <w:bottom w:w="100" w:type="dxa"/>
              <w:right w:w="100" w:type="dxa"/>
            </w:tcMar>
          </w:tcPr>
          <w:p w14:paraId="5FF925F0" w14:textId="77777777" w:rsidR="00BC388A" w:rsidRDefault="00140473">
            <w:pPr>
              <w:rPr>
                <w:rFonts w:ascii="Calibri" w:eastAsia="Calibri" w:hAnsi="Calibri" w:cs="Calibri"/>
                <w:b/>
                <w:sz w:val="18"/>
                <w:szCs w:val="18"/>
              </w:rPr>
            </w:pPr>
            <w:r>
              <w:rPr>
                <w:rFonts w:ascii="Calibri" w:eastAsia="Calibri" w:hAnsi="Calibri" w:cs="Calibri"/>
                <w:b/>
                <w:sz w:val="18"/>
                <w:szCs w:val="18"/>
              </w:rPr>
              <w:t>Onboarded as EGI Validated Software and Repository by EOSC Future</w:t>
            </w:r>
          </w:p>
        </w:tc>
        <w:tc>
          <w:tcPr>
            <w:tcW w:w="3210" w:type="dxa"/>
            <w:shd w:val="clear" w:color="auto" w:fill="D9EAD3"/>
            <w:tcMar>
              <w:top w:w="100" w:type="dxa"/>
              <w:left w:w="100" w:type="dxa"/>
              <w:bottom w:w="100" w:type="dxa"/>
              <w:right w:w="100" w:type="dxa"/>
            </w:tcMar>
          </w:tcPr>
          <w:p w14:paraId="743164A4"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In internal catalogue</w:t>
            </w:r>
          </w:p>
        </w:tc>
      </w:tr>
      <w:tr w:rsidR="00BC388A" w14:paraId="4A36BB6A" w14:textId="77777777">
        <w:trPr>
          <w:trHeight w:val="380"/>
        </w:trPr>
        <w:tc>
          <w:tcPr>
            <w:tcW w:w="8910" w:type="dxa"/>
            <w:gridSpan w:val="3"/>
            <w:shd w:val="clear" w:color="auto" w:fill="CFE2F3"/>
          </w:tcPr>
          <w:p w14:paraId="578CA8DB"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lastRenderedPageBreak/>
              <w:t xml:space="preserve">Thematic services (Data Spaces) </w:t>
            </w:r>
          </w:p>
        </w:tc>
      </w:tr>
      <w:tr w:rsidR="00BC388A" w14:paraId="6BC1F842" w14:textId="77777777">
        <w:trPr>
          <w:trHeight w:val="380"/>
        </w:trPr>
        <w:tc>
          <w:tcPr>
            <w:tcW w:w="8910" w:type="dxa"/>
            <w:gridSpan w:val="3"/>
            <w:shd w:val="clear" w:color="auto" w:fill="EFEFEF"/>
          </w:tcPr>
          <w:p w14:paraId="30C0B3E4"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Health and medicine</w:t>
            </w:r>
          </w:p>
        </w:tc>
      </w:tr>
      <w:tr w:rsidR="00BC388A" w14:paraId="38DE27A0" w14:textId="77777777">
        <w:tc>
          <w:tcPr>
            <w:tcW w:w="2550" w:type="dxa"/>
            <w:shd w:val="clear" w:color="auto" w:fill="auto"/>
            <w:tcMar>
              <w:top w:w="100" w:type="dxa"/>
              <w:left w:w="100" w:type="dxa"/>
              <w:bottom w:w="100" w:type="dxa"/>
              <w:right w:w="100" w:type="dxa"/>
            </w:tcMar>
          </w:tcPr>
          <w:p w14:paraId="0B5DF24B" w14:textId="77777777" w:rsidR="00BC388A" w:rsidRDefault="00140473">
            <w:pPr>
              <w:spacing w:after="0" w:line="240" w:lineRule="auto"/>
              <w:rPr>
                <w:rFonts w:ascii="Calibri" w:eastAsia="Calibri" w:hAnsi="Calibri" w:cs="Calibri"/>
                <w:b/>
                <w:sz w:val="18"/>
                <w:szCs w:val="18"/>
              </w:rPr>
            </w:pPr>
            <w:proofErr w:type="spellStart"/>
            <w:r>
              <w:rPr>
                <w:rFonts w:ascii="Calibri" w:eastAsia="Calibri" w:hAnsi="Calibri" w:cs="Calibri"/>
                <w:b/>
                <w:sz w:val="18"/>
                <w:szCs w:val="18"/>
                <w:highlight w:val="white"/>
              </w:rPr>
              <w:t>WeNMR</w:t>
            </w:r>
            <w:proofErr w:type="spellEnd"/>
          </w:p>
        </w:tc>
        <w:tc>
          <w:tcPr>
            <w:tcW w:w="3150" w:type="dxa"/>
            <w:shd w:val="clear" w:color="auto" w:fill="D9EAD3"/>
            <w:tcMar>
              <w:top w:w="100" w:type="dxa"/>
              <w:left w:w="100" w:type="dxa"/>
              <w:bottom w:w="100" w:type="dxa"/>
              <w:right w:w="100" w:type="dxa"/>
            </w:tcMar>
          </w:tcPr>
          <w:p w14:paraId="2E24D388"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Onboarded as HADDOCK2.4 web portal</w:t>
            </w:r>
          </w:p>
        </w:tc>
        <w:tc>
          <w:tcPr>
            <w:tcW w:w="3210" w:type="dxa"/>
            <w:shd w:val="clear" w:color="auto" w:fill="F4CCCC"/>
            <w:tcMar>
              <w:top w:w="100" w:type="dxa"/>
              <w:left w:w="100" w:type="dxa"/>
              <w:bottom w:w="100" w:type="dxa"/>
              <w:right w:w="100" w:type="dxa"/>
            </w:tcMar>
          </w:tcPr>
          <w:p w14:paraId="55D3C94B"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in EGI catalogues and no plan to include them in the existing catalogues</w:t>
            </w:r>
          </w:p>
        </w:tc>
      </w:tr>
      <w:tr w:rsidR="00BC388A" w14:paraId="0577A57D" w14:textId="77777777">
        <w:tc>
          <w:tcPr>
            <w:tcW w:w="2550" w:type="dxa"/>
            <w:shd w:val="clear" w:color="auto" w:fill="auto"/>
            <w:tcMar>
              <w:top w:w="100" w:type="dxa"/>
              <w:left w:w="100" w:type="dxa"/>
              <w:bottom w:w="100" w:type="dxa"/>
              <w:right w:w="100" w:type="dxa"/>
            </w:tcMar>
          </w:tcPr>
          <w:p w14:paraId="3DA2F5C0" w14:textId="77777777" w:rsidR="00BC388A" w:rsidRDefault="00BC388A">
            <w:pPr>
              <w:spacing w:after="0" w:line="240" w:lineRule="auto"/>
              <w:rPr>
                <w:rFonts w:ascii="Calibri" w:eastAsia="Calibri" w:hAnsi="Calibri" w:cs="Calibri"/>
                <w:b/>
                <w:sz w:val="18"/>
                <w:szCs w:val="18"/>
              </w:rPr>
            </w:pPr>
          </w:p>
        </w:tc>
        <w:tc>
          <w:tcPr>
            <w:tcW w:w="3150" w:type="dxa"/>
            <w:shd w:val="clear" w:color="auto" w:fill="D9EAD3"/>
            <w:tcMar>
              <w:top w:w="100" w:type="dxa"/>
              <w:left w:w="100" w:type="dxa"/>
              <w:bottom w:w="100" w:type="dxa"/>
              <w:right w:w="100" w:type="dxa"/>
            </w:tcMar>
          </w:tcPr>
          <w:p w14:paraId="2FBA8B50"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 xml:space="preserve">Onboarded as </w:t>
            </w:r>
            <w:proofErr w:type="spellStart"/>
            <w:r>
              <w:rPr>
                <w:rFonts w:ascii="Calibri" w:eastAsia="Calibri" w:hAnsi="Calibri" w:cs="Calibri"/>
                <w:b/>
                <w:sz w:val="18"/>
                <w:szCs w:val="18"/>
              </w:rPr>
              <w:t>DisVis</w:t>
            </w:r>
            <w:proofErr w:type="spellEnd"/>
            <w:r>
              <w:rPr>
                <w:rFonts w:ascii="Calibri" w:eastAsia="Calibri" w:hAnsi="Calibri" w:cs="Calibri"/>
                <w:b/>
                <w:sz w:val="18"/>
                <w:szCs w:val="18"/>
              </w:rPr>
              <w:t xml:space="preserve"> web portal</w:t>
            </w:r>
          </w:p>
        </w:tc>
        <w:tc>
          <w:tcPr>
            <w:tcW w:w="3210" w:type="dxa"/>
            <w:shd w:val="clear" w:color="auto" w:fill="F4CCCC"/>
            <w:tcMar>
              <w:top w:w="100" w:type="dxa"/>
              <w:left w:w="100" w:type="dxa"/>
              <w:bottom w:w="100" w:type="dxa"/>
              <w:right w:w="100" w:type="dxa"/>
            </w:tcMar>
          </w:tcPr>
          <w:p w14:paraId="227F3742"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in EGI catalogues and no plan to include them in the existing catalogues</w:t>
            </w:r>
          </w:p>
        </w:tc>
      </w:tr>
      <w:tr w:rsidR="00BC388A" w14:paraId="2EF53B21" w14:textId="77777777">
        <w:tc>
          <w:tcPr>
            <w:tcW w:w="2550" w:type="dxa"/>
            <w:shd w:val="clear" w:color="auto" w:fill="auto"/>
            <w:tcMar>
              <w:top w:w="100" w:type="dxa"/>
              <w:left w:w="100" w:type="dxa"/>
              <w:bottom w:w="100" w:type="dxa"/>
              <w:right w:w="100" w:type="dxa"/>
            </w:tcMar>
          </w:tcPr>
          <w:p w14:paraId="5A145CF6" w14:textId="77777777" w:rsidR="00BC388A" w:rsidRDefault="00BC388A">
            <w:pPr>
              <w:spacing w:after="0" w:line="240" w:lineRule="auto"/>
              <w:rPr>
                <w:rFonts w:ascii="Calibri" w:eastAsia="Calibri" w:hAnsi="Calibri" w:cs="Calibri"/>
                <w:b/>
                <w:sz w:val="18"/>
                <w:szCs w:val="18"/>
              </w:rPr>
            </w:pPr>
          </w:p>
        </w:tc>
        <w:tc>
          <w:tcPr>
            <w:tcW w:w="3150" w:type="dxa"/>
            <w:shd w:val="clear" w:color="auto" w:fill="D9EAD3"/>
            <w:tcMar>
              <w:top w:w="100" w:type="dxa"/>
              <w:left w:w="100" w:type="dxa"/>
              <w:bottom w:w="100" w:type="dxa"/>
              <w:right w:w="100" w:type="dxa"/>
            </w:tcMar>
          </w:tcPr>
          <w:p w14:paraId="5A3F3E2E"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 xml:space="preserve">Onboarded as </w:t>
            </w:r>
            <w:proofErr w:type="spellStart"/>
            <w:r>
              <w:rPr>
                <w:rFonts w:ascii="Calibri" w:eastAsia="Calibri" w:hAnsi="Calibri" w:cs="Calibri"/>
                <w:b/>
                <w:sz w:val="18"/>
                <w:szCs w:val="18"/>
              </w:rPr>
              <w:t>PowerFit</w:t>
            </w:r>
            <w:proofErr w:type="spellEnd"/>
            <w:r>
              <w:rPr>
                <w:rFonts w:ascii="Calibri" w:eastAsia="Calibri" w:hAnsi="Calibri" w:cs="Calibri"/>
                <w:b/>
                <w:sz w:val="18"/>
                <w:szCs w:val="18"/>
              </w:rPr>
              <w:t xml:space="preserve"> web portal</w:t>
            </w:r>
          </w:p>
        </w:tc>
        <w:tc>
          <w:tcPr>
            <w:tcW w:w="3210" w:type="dxa"/>
            <w:shd w:val="clear" w:color="auto" w:fill="F4CCCC"/>
            <w:tcMar>
              <w:top w:w="100" w:type="dxa"/>
              <w:left w:w="100" w:type="dxa"/>
              <w:bottom w:w="100" w:type="dxa"/>
              <w:right w:w="100" w:type="dxa"/>
            </w:tcMar>
          </w:tcPr>
          <w:p w14:paraId="47414B5E"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in EGI catalogues and no plan to include them in the existing catalogues</w:t>
            </w:r>
          </w:p>
        </w:tc>
      </w:tr>
      <w:tr w:rsidR="00BC388A" w14:paraId="644FC007" w14:textId="77777777">
        <w:trPr>
          <w:trHeight w:val="435"/>
        </w:trPr>
        <w:tc>
          <w:tcPr>
            <w:tcW w:w="2550" w:type="dxa"/>
            <w:shd w:val="clear" w:color="auto" w:fill="auto"/>
            <w:tcMar>
              <w:top w:w="100" w:type="dxa"/>
              <w:left w:w="100" w:type="dxa"/>
              <w:bottom w:w="100" w:type="dxa"/>
              <w:right w:w="100" w:type="dxa"/>
            </w:tcMar>
          </w:tcPr>
          <w:p w14:paraId="10EA1CA2" w14:textId="77777777" w:rsidR="00BC388A" w:rsidRDefault="00BC388A">
            <w:pPr>
              <w:spacing w:after="0" w:line="240" w:lineRule="auto"/>
              <w:rPr>
                <w:rFonts w:ascii="Calibri" w:eastAsia="Calibri" w:hAnsi="Calibri" w:cs="Calibri"/>
                <w:b/>
                <w:sz w:val="18"/>
                <w:szCs w:val="18"/>
              </w:rPr>
            </w:pPr>
          </w:p>
        </w:tc>
        <w:tc>
          <w:tcPr>
            <w:tcW w:w="3150" w:type="dxa"/>
            <w:shd w:val="clear" w:color="auto" w:fill="D9EAD3"/>
            <w:tcMar>
              <w:top w:w="100" w:type="dxa"/>
              <w:left w:w="100" w:type="dxa"/>
              <w:bottom w:w="100" w:type="dxa"/>
              <w:right w:w="100" w:type="dxa"/>
            </w:tcMar>
          </w:tcPr>
          <w:p w14:paraId="00593CCF"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 xml:space="preserve">Onboarded as </w:t>
            </w:r>
            <w:proofErr w:type="spellStart"/>
            <w:r>
              <w:rPr>
                <w:rFonts w:ascii="Calibri" w:eastAsia="Calibri" w:hAnsi="Calibri" w:cs="Calibri"/>
                <w:b/>
                <w:sz w:val="18"/>
                <w:szCs w:val="18"/>
              </w:rPr>
              <w:t>SpotOn</w:t>
            </w:r>
            <w:proofErr w:type="spellEnd"/>
            <w:r>
              <w:rPr>
                <w:rFonts w:ascii="Calibri" w:eastAsia="Calibri" w:hAnsi="Calibri" w:cs="Calibri"/>
                <w:b/>
                <w:sz w:val="18"/>
                <w:szCs w:val="18"/>
              </w:rPr>
              <w:t xml:space="preserve"> web portal</w:t>
            </w:r>
          </w:p>
        </w:tc>
        <w:tc>
          <w:tcPr>
            <w:tcW w:w="3210" w:type="dxa"/>
            <w:shd w:val="clear" w:color="auto" w:fill="F4CCCC"/>
            <w:tcMar>
              <w:top w:w="100" w:type="dxa"/>
              <w:left w:w="100" w:type="dxa"/>
              <w:bottom w:w="100" w:type="dxa"/>
              <w:right w:w="100" w:type="dxa"/>
            </w:tcMar>
          </w:tcPr>
          <w:p w14:paraId="7A7E8F63"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in EGI catalogues and no plan to include them in the existing catalogues</w:t>
            </w:r>
          </w:p>
        </w:tc>
      </w:tr>
      <w:tr w:rsidR="00BC388A" w14:paraId="3629ABEC" w14:textId="77777777">
        <w:trPr>
          <w:trHeight w:val="735"/>
        </w:trPr>
        <w:tc>
          <w:tcPr>
            <w:tcW w:w="2550" w:type="dxa"/>
            <w:shd w:val="clear" w:color="auto" w:fill="auto"/>
            <w:tcMar>
              <w:top w:w="100" w:type="dxa"/>
              <w:left w:w="100" w:type="dxa"/>
              <w:bottom w:w="100" w:type="dxa"/>
              <w:right w:w="100" w:type="dxa"/>
            </w:tcMar>
          </w:tcPr>
          <w:p w14:paraId="6286A688" w14:textId="77777777" w:rsidR="00BC388A" w:rsidRDefault="00BC388A">
            <w:pPr>
              <w:spacing w:after="0" w:line="240" w:lineRule="auto"/>
              <w:rPr>
                <w:rFonts w:ascii="Calibri" w:eastAsia="Calibri" w:hAnsi="Calibri" w:cs="Calibri"/>
                <w:b/>
                <w:sz w:val="18"/>
                <w:szCs w:val="18"/>
                <w:highlight w:val="white"/>
              </w:rPr>
            </w:pPr>
          </w:p>
        </w:tc>
        <w:tc>
          <w:tcPr>
            <w:tcW w:w="3150" w:type="dxa"/>
            <w:shd w:val="clear" w:color="auto" w:fill="D9EAD3"/>
            <w:tcMar>
              <w:top w:w="100" w:type="dxa"/>
              <w:left w:w="100" w:type="dxa"/>
              <w:bottom w:w="100" w:type="dxa"/>
              <w:right w:w="100" w:type="dxa"/>
            </w:tcMar>
          </w:tcPr>
          <w:p w14:paraId="62AF8F03" w14:textId="77777777" w:rsidR="00BC388A" w:rsidRDefault="00140473">
            <w:pPr>
              <w:jc w:val="left"/>
              <w:rPr>
                <w:rFonts w:ascii="Calibri" w:eastAsia="Calibri" w:hAnsi="Calibri" w:cs="Calibri"/>
                <w:b/>
                <w:sz w:val="18"/>
                <w:szCs w:val="18"/>
              </w:rPr>
            </w:pPr>
            <w:r>
              <w:rPr>
                <w:rFonts w:ascii="Calibri" w:eastAsia="Calibri" w:hAnsi="Calibri" w:cs="Calibri"/>
                <w:b/>
                <w:sz w:val="18"/>
                <w:szCs w:val="18"/>
              </w:rPr>
              <w:t>Onboarded as AMBER-based Portal Server for NMR structures (AMPS-NMR)</w:t>
            </w:r>
          </w:p>
        </w:tc>
        <w:tc>
          <w:tcPr>
            <w:tcW w:w="3210" w:type="dxa"/>
            <w:shd w:val="clear" w:color="auto" w:fill="F4CCCC"/>
            <w:tcMar>
              <w:top w:w="100" w:type="dxa"/>
              <w:left w:w="100" w:type="dxa"/>
              <w:bottom w:w="100" w:type="dxa"/>
              <w:right w:w="100" w:type="dxa"/>
            </w:tcMar>
          </w:tcPr>
          <w:p w14:paraId="040E5D9B"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in EGI catalogues and no plan to include them in the existing catalogues</w:t>
            </w:r>
          </w:p>
        </w:tc>
      </w:tr>
      <w:tr w:rsidR="00BC388A" w14:paraId="75736B5D" w14:textId="77777777">
        <w:tc>
          <w:tcPr>
            <w:tcW w:w="2550" w:type="dxa"/>
            <w:shd w:val="clear" w:color="auto" w:fill="auto"/>
            <w:tcMar>
              <w:top w:w="100" w:type="dxa"/>
              <w:left w:w="100" w:type="dxa"/>
              <w:bottom w:w="100" w:type="dxa"/>
              <w:right w:w="100" w:type="dxa"/>
            </w:tcMar>
          </w:tcPr>
          <w:p w14:paraId="77B54171"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highlight w:val="white"/>
              </w:rPr>
              <w:t>Virtual Imaging Platform</w:t>
            </w:r>
          </w:p>
        </w:tc>
        <w:tc>
          <w:tcPr>
            <w:tcW w:w="3150" w:type="dxa"/>
            <w:shd w:val="clear" w:color="auto" w:fill="D9EAD3"/>
            <w:tcMar>
              <w:top w:w="100" w:type="dxa"/>
              <w:left w:w="100" w:type="dxa"/>
              <w:bottom w:w="100" w:type="dxa"/>
              <w:right w:w="100" w:type="dxa"/>
            </w:tcMar>
          </w:tcPr>
          <w:p w14:paraId="7F9C7B8A"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Onboarded as Virtual Imaging Platform</w:t>
            </w:r>
          </w:p>
        </w:tc>
        <w:tc>
          <w:tcPr>
            <w:tcW w:w="3210" w:type="dxa"/>
            <w:shd w:val="clear" w:color="auto" w:fill="F4CCCC"/>
            <w:tcMar>
              <w:top w:w="100" w:type="dxa"/>
              <w:left w:w="100" w:type="dxa"/>
              <w:bottom w:w="100" w:type="dxa"/>
              <w:right w:w="100" w:type="dxa"/>
            </w:tcMar>
          </w:tcPr>
          <w:p w14:paraId="313C6820"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in EGI catalogues and no plan to include them in the existing catalogues</w:t>
            </w:r>
          </w:p>
        </w:tc>
      </w:tr>
      <w:tr w:rsidR="00BC388A" w14:paraId="16E6FF33" w14:textId="77777777">
        <w:tc>
          <w:tcPr>
            <w:tcW w:w="2550" w:type="dxa"/>
            <w:shd w:val="clear" w:color="auto" w:fill="auto"/>
            <w:tcMar>
              <w:top w:w="100" w:type="dxa"/>
              <w:left w:w="100" w:type="dxa"/>
              <w:bottom w:w="100" w:type="dxa"/>
              <w:right w:w="100" w:type="dxa"/>
            </w:tcMar>
          </w:tcPr>
          <w:p w14:paraId="67EAC385" w14:textId="77777777" w:rsidR="00BC388A" w:rsidRDefault="00140473">
            <w:pPr>
              <w:spacing w:after="0" w:line="240" w:lineRule="auto"/>
              <w:rPr>
                <w:rFonts w:ascii="Calibri" w:eastAsia="Calibri" w:hAnsi="Calibri" w:cs="Calibri"/>
                <w:b/>
                <w:sz w:val="18"/>
                <w:szCs w:val="18"/>
                <w:highlight w:val="white"/>
              </w:rPr>
            </w:pPr>
            <w:proofErr w:type="spellStart"/>
            <w:r>
              <w:rPr>
                <w:rFonts w:ascii="Calibri" w:eastAsia="Calibri" w:hAnsi="Calibri" w:cs="Calibri"/>
                <w:b/>
                <w:sz w:val="18"/>
                <w:szCs w:val="18"/>
                <w:highlight w:val="white"/>
              </w:rPr>
              <w:t>OpenRiskNet</w:t>
            </w:r>
            <w:proofErr w:type="spellEnd"/>
            <w:r>
              <w:rPr>
                <w:rFonts w:ascii="Calibri" w:eastAsia="Calibri" w:hAnsi="Calibri" w:cs="Calibri"/>
                <w:b/>
                <w:sz w:val="18"/>
                <w:szCs w:val="18"/>
                <w:highlight w:val="white"/>
              </w:rPr>
              <w:t>/</w:t>
            </w:r>
          </w:p>
          <w:p w14:paraId="345BC585" w14:textId="77777777" w:rsidR="00BC388A" w:rsidRDefault="00140473">
            <w:pPr>
              <w:spacing w:after="0" w:line="240" w:lineRule="auto"/>
              <w:rPr>
                <w:rFonts w:ascii="Calibri" w:eastAsia="Calibri" w:hAnsi="Calibri" w:cs="Calibri"/>
                <w:b/>
                <w:sz w:val="18"/>
                <w:szCs w:val="18"/>
                <w:highlight w:val="white"/>
              </w:rPr>
            </w:pPr>
            <w:proofErr w:type="spellStart"/>
            <w:r>
              <w:rPr>
                <w:rFonts w:ascii="Calibri" w:eastAsia="Calibri" w:hAnsi="Calibri" w:cs="Calibri"/>
                <w:b/>
                <w:sz w:val="18"/>
                <w:szCs w:val="18"/>
                <w:highlight w:val="white"/>
              </w:rPr>
              <w:t>NanoCommons</w:t>
            </w:r>
            <w:proofErr w:type="spellEnd"/>
          </w:p>
        </w:tc>
        <w:tc>
          <w:tcPr>
            <w:tcW w:w="3150" w:type="dxa"/>
            <w:shd w:val="clear" w:color="auto" w:fill="F4CCCC"/>
            <w:tcMar>
              <w:top w:w="100" w:type="dxa"/>
              <w:left w:w="100" w:type="dxa"/>
              <w:bottom w:w="100" w:type="dxa"/>
              <w:right w:w="100" w:type="dxa"/>
            </w:tcMar>
          </w:tcPr>
          <w:p w14:paraId="3FB550FD"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yet</w:t>
            </w:r>
          </w:p>
        </w:tc>
        <w:tc>
          <w:tcPr>
            <w:tcW w:w="3210" w:type="dxa"/>
            <w:shd w:val="clear" w:color="auto" w:fill="F4CCCC"/>
            <w:tcMar>
              <w:top w:w="100" w:type="dxa"/>
              <w:left w:w="100" w:type="dxa"/>
              <w:bottom w:w="100" w:type="dxa"/>
              <w:right w:w="100" w:type="dxa"/>
            </w:tcMar>
          </w:tcPr>
          <w:p w14:paraId="29F0D34D"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in EGI catalogues and no plan to include them in the existing catalogues</w:t>
            </w:r>
          </w:p>
        </w:tc>
      </w:tr>
      <w:tr w:rsidR="00BC388A" w14:paraId="06EB6C52" w14:textId="77777777">
        <w:tc>
          <w:tcPr>
            <w:tcW w:w="2550" w:type="dxa"/>
            <w:shd w:val="clear" w:color="auto" w:fill="auto"/>
            <w:tcMar>
              <w:top w:w="100" w:type="dxa"/>
              <w:left w:w="100" w:type="dxa"/>
              <w:bottom w:w="100" w:type="dxa"/>
              <w:right w:w="100" w:type="dxa"/>
            </w:tcMar>
          </w:tcPr>
          <w:p w14:paraId="36D91348"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highlight w:val="white"/>
              </w:rPr>
              <w:t>UseGalaxy.eu</w:t>
            </w:r>
          </w:p>
        </w:tc>
        <w:tc>
          <w:tcPr>
            <w:tcW w:w="3150" w:type="dxa"/>
            <w:shd w:val="clear" w:color="auto" w:fill="D9EAD3"/>
            <w:tcMar>
              <w:top w:w="100" w:type="dxa"/>
              <w:left w:w="100" w:type="dxa"/>
              <w:bottom w:w="100" w:type="dxa"/>
              <w:right w:w="100" w:type="dxa"/>
            </w:tcMar>
          </w:tcPr>
          <w:p w14:paraId="40C57D22" w14:textId="77777777" w:rsidR="00BC388A" w:rsidRDefault="00140473">
            <w:pPr>
              <w:rPr>
                <w:rFonts w:ascii="Calibri" w:eastAsia="Calibri" w:hAnsi="Calibri" w:cs="Calibri"/>
                <w:b/>
                <w:sz w:val="18"/>
                <w:szCs w:val="18"/>
                <w:highlight w:val="white"/>
              </w:rPr>
            </w:pPr>
            <w:r>
              <w:rPr>
                <w:rFonts w:ascii="Calibri" w:eastAsia="Calibri" w:hAnsi="Calibri" w:cs="Calibri"/>
                <w:b/>
                <w:sz w:val="18"/>
                <w:szCs w:val="18"/>
              </w:rPr>
              <w:t>Onboarded as European Galaxy Server</w:t>
            </w:r>
          </w:p>
        </w:tc>
        <w:tc>
          <w:tcPr>
            <w:tcW w:w="3210" w:type="dxa"/>
            <w:shd w:val="clear" w:color="auto" w:fill="F4CCCC"/>
            <w:tcMar>
              <w:top w:w="100" w:type="dxa"/>
              <w:left w:w="100" w:type="dxa"/>
              <w:bottom w:w="100" w:type="dxa"/>
              <w:right w:w="100" w:type="dxa"/>
            </w:tcMar>
          </w:tcPr>
          <w:p w14:paraId="735E623B"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in EGI catalogues and no plan to include them in the existing catalogues</w:t>
            </w:r>
          </w:p>
        </w:tc>
      </w:tr>
      <w:tr w:rsidR="00BC388A" w14:paraId="79ABBE9D" w14:textId="77777777">
        <w:trPr>
          <w:trHeight w:val="380"/>
        </w:trPr>
        <w:tc>
          <w:tcPr>
            <w:tcW w:w="8910" w:type="dxa"/>
            <w:gridSpan w:val="3"/>
            <w:shd w:val="clear" w:color="auto" w:fill="EFEFEF"/>
          </w:tcPr>
          <w:p w14:paraId="10A73512" w14:textId="77777777" w:rsidR="00BC388A" w:rsidRDefault="00140473">
            <w:pPr>
              <w:pBdr>
                <w:top w:val="nil"/>
                <w:left w:val="nil"/>
                <w:bottom w:val="nil"/>
                <w:right w:val="nil"/>
                <w:between w:val="nil"/>
              </w:pBdr>
              <w:spacing w:after="0" w:line="240" w:lineRule="auto"/>
              <w:rPr>
                <w:rFonts w:ascii="Calibri" w:eastAsia="Calibri" w:hAnsi="Calibri" w:cs="Calibri"/>
                <w:b/>
                <w:sz w:val="18"/>
                <w:szCs w:val="18"/>
              </w:rPr>
            </w:pPr>
            <w:r>
              <w:rPr>
                <w:rFonts w:ascii="Calibri" w:eastAsia="Calibri" w:hAnsi="Calibri" w:cs="Calibri"/>
                <w:b/>
                <w:sz w:val="18"/>
                <w:szCs w:val="18"/>
              </w:rPr>
              <w:t>Climate research</w:t>
            </w:r>
          </w:p>
        </w:tc>
      </w:tr>
      <w:tr w:rsidR="00BC388A" w14:paraId="5E59B016" w14:textId="77777777">
        <w:tc>
          <w:tcPr>
            <w:tcW w:w="2550" w:type="dxa"/>
            <w:shd w:val="clear" w:color="auto" w:fill="auto"/>
            <w:tcMar>
              <w:top w:w="100" w:type="dxa"/>
              <w:left w:w="100" w:type="dxa"/>
              <w:bottom w:w="100" w:type="dxa"/>
              <w:right w:w="100" w:type="dxa"/>
            </w:tcMar>
          </w:tcPr>
          <w:p w14:paraId="4CBC8D63" w14:textId="77777777" w:rsidR="00BC388A" w:rsidRDefault="00140473">
            <w:pPr>
              <w:spacing w:after="0" w:line="240" w:lineRule="auto"/>
              <w:rPr>
                <w:rFonts w:ascii="Calibri" w:eastAsia="Calibri" w:hAnsi="Calibri" w:cs="Calibri"/>
                <w:b/>
                <w:sz w:val="18"/>
                <w:szCs w:val="18"/>
              </w:rPr>
            </w:pPr>
            <w:proofErr w:type="spellStart"/>
            <w:r>
              <w:rPr>
                <w:rFonts w:ascii="Calibri" w:eastAsia="Calibri" w:hAnsi="Calibri" w:cs="Calibri"/>
                <w:b/>
                <w:sz w:val="18"/>
                <w:szCs w:val="18"/>
                <w:highlight w:val="white"/>
              </w:rPr>
              <w:t>OpenCoastS</w:t>
            </w:r>
            <w:proofErr w:type="spellEnd"/>
          </w:p>
        </w:tc>
        <w:tc>
          <w:tcPr>
            <w:tcW w:w="3150" w:type="dxa"/>
            <w:shd w:val="clear" w:color="auto" w:fill="D9EAD3"/>
            <w:tcMar>
              <w:top w:w="100" w:type="dxa"/>
              <w:left w:w="100" w:type="dxa"/>
              <w:bottom w:w="100" w:type="dxa"/>
              <w:right w:w="100" w:type="dxa"/>
            </w:tcMar>
          </w:tcPr>
          <w:p w14:paraId="7888EEA5"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 xml:space="preserve">Onboarded as </w:t>
            </w:r>
            <w:proofErr w:type="spellStart"/>
            <w:r>
              <w:rPr>
                <w:rFonts w:ascii="Calibri" w:eastAsia="Calibri" w:hAnsi="Calibri" w:cs="Calibri"/>
                <w:b/>
                <w:sz w:val="18"/>
                <w:szCs w:val="18"/>
              </w:rPr>
              <w:t>OPENCoastS</w:t>
            </w:r>
            <w:proofErr w:type="spellEnd"/>
            <w:r>
              <w:rPr>
                <w:rFonts w:ascii="Calibri" w:eastAsia="Calibri" w:hAnsi="Calibri" w:cs="Calibri"/>
                <w:b/>
                <w:sz w:val="18"/>
                <w:szCs w:val="18"/>
              </w:rPr>
              <w:t xml:space="preserve"> Portal</w:t>
            </w:r>
          </w:p>
        </w:tc>
        <w:tc>
          <w:tcPr>
            <w:tcW w:w="3210" w:type="dxa"/>
            <w:shd w:val="clear" w:color="auto" w:fill="F4CCCC"/>
            <w:tcMar>
              <w:top w:w="100" w:type="dxa"/>
              <w:left w:w="100" w:type="dxa"/>
              <w:bottom w:w="100" w:type="dxa"/>
              <w:right w:w="100" w:type="dxa"/>
            </w:tcMar>
          </w:tcPr>
          <w:p w14:paraId="38382E6C"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in EGI catalogues and no plan to include them in the existing catalogues</w:t>
            </w:r>
          </w:p>
        </w:tc>
      </w:tr>
      <w:tr w:rsidR="00BC388A" w14:paraId="49B1B069" w14:textId="77777777">
        <w:tc>
          <w:tcPr>
            <w:tcW w:w="2550" w:type="dxa"/>
            <w:shd w:val="clear" w:color="auto" w:fill="auto"/>
            <w:tcMar>
              <w:top w:w="100" w:type="dxa"/>
              <w:left w:w="100" w:type="dxa"/>
              <w:bottom w:w="100" w:type="dxa"/>
              <w:right w:w="100" w:type="dxa"/>
            </w:tcMar>
          </w:tcPr>
          <w:p w14:paraId="31C52771"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highlight w:val="white"/>
              </w:rPr>
              <w:t>ENES Data Space</w:t>
            </w:r>
          </w:p>
        </w:tc>
        <w:tc>
          <w:tcPr>
            <w:tcW w:w="3150" w:type="dxa"/>
            <w:shd w:val="clear" w:color="auto" w:fill="D9EAD3"/>
            <w:tcMar>
              <w:top w:w="100" w:type="dxa"/>
              <w:left w:w="100" w:type="dxa"/>
              <w:bottom w:w="100" w:type="dxa"/>
              <w:right w:w="100" w:type="dxa"/>
            </w:tcMar>
          </w:tcPr>
          <w:p w14:paraId="7386DFA8"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Onboarded as ENES Data Space</w:t>
            </w:r>
          </w:p>
        </w:tc>
        <w:tc>
          <w:tcPr>
            <w:tcW w:w="3210" w:type="dxa"/>
            <w:shd w:val="clear" w:color="auto" w:fill="F4CCCC"/>
            <w:tcMar>
              <w:top w:w="100" w:type="dxa"/>
              <w:left w:w="100" w:type="dxa"/>
              <w:bottom w:w="100" w:type="dxa"/>
              <w:right w:w="100" w:type="dxa"/>
            </w:tcMar>
          </w:tcPr>
          <w:p w14:paraId="183F266C"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in EGI catalogues and no plan to include them in the existing catalogues</w:t>
            </w:r>
          </w:p>
        </w:tc>
      </w:tr>
      <w:tr w:rsidR="00BC388A" w14:paraId="0E7F0237" w14:textId="77777777">
        <w:trPr>
          <w:trHeight w:val="380"/>
        </w:trPr>
        <w:tc>
          <w:tcPr>
            <w:tcW w:w="8910" w:type="dxa"/>
            <w:gridSpan w:val="3"/>
            <w:shd w:val="clear" w:color="auto" w:fill="EFEFEF"/>
          </w:tcPr>
          <w:p w14:paraId="40C9884E"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Energy and physical sciences</w:t>
            </w:r>
          </w:p>
        </w:tc>
      </w:tr>
      <w:tr w:rsidR="00BC388A" w14:paraId="27FC2967" w14:textId="77777777">
        <w:tc>
          <w:tcPr>
            <w:tcW w:w="2550" w:type="dxa"/>
            <w:shd w:val="clear" w:color="auto" w:fill="auto"/>
            <w:tcMar>
              <w:top w:w="100" w:type="dxa"/>
              <w:left w:w="100" w:type="dxa"/>
              <w:bottom w:w="100" w:type="dxa"/>
              <w:right w:w="100" w:type="dxa"/>
            </w:tcMar>
          </w:tcPr>
          <w:p w14:paraId="39849E58"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PROMINENCE</w:t>
            </w:r>
          </w:p>
        </w:tc>
        <w:tc>
          <w:tcPr>
            <w:tcW w:w="3150" w:type="dxa"/>
            <w:shd w:val="clear" w:color="auto" w:fill="F4CCCC"/>
            <w:tcMar>
              <w:top w:w="100" w:type="dxa"/>
              <w:left w:w="100" w:type="dxa"/>
              <w:bottom w:w="100" w:type="dxa"/>
              <w:right w:w="100" w:type="dxa"/>
            </w:tcMar>
          </w:tcPr>
          <w:p w14:paraId="2FBB6FCF"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yet</w:t>
            </w:r>
          </w:p>
        </w:tc>
        <w:tc>
          <w:tcPr>
            <w:tcW w:w="3210" w:type="dxa"/>
            <w:shd w:val="clear" w:color="auto" w:fill="F4CCCC"/>
            <w:tcMar>
              <w:top w:w="100" w:type="dxa"/>
              <w:left w:w="100" w:type="dxa"/>
              <w:bottom w:w="100" w:type="dxa"/>
              <w:right w:w="100" w:type="dxa"/>
            </w:tcMar>
          </w:tcPr>
          <w:p w14:paraId="44BD29DF"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in EGI catalogues and no plan to include them in the existing catalogues</w:t>
            </w:r>
          </w:p>
        </w:tc>
      </w:tr>
      <w:tr w:rsidR="00BC388A" w14:paraId="2A842376" w14:textId="77777777">
        <w:tc>
          <w:tcPr>
            <w:tcW w:w="2550" w:type="dxa"/>
            <w:shd w:val="clear" w:color="auto" w:fill="auto"/>
            <w:tcMar>
              <w:top w:w="100" w:type="dxa"/>
              <w:left w:w="100" w:type="dxa"/>
              <w:bottom w:w="100" w:type="dxa"/>
              <w:right w:w="100" w:type="dxa"/>
            </w:tcMar>
          </w:tcPr>
          <w:p w14:paraId="0FCD22A5"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 xml:space="preserve">LOFAR </w:t>
            </w:r>
            <w:r>
              <w:rPr>
                <w:rFonts w:ascii="Calibri" w:eastAsia="Calibri" w:hAnsi="Calibri" w:cs="Calibri"/>
                <w:b/>
                <w:sz w:val="18"/>
                <w:szCs w:val="18"/>
                <w:highlight w:val="white"/>
              </w:rPr>
              <w:t>Science Products</w:t>
            </w:r>
          </w:p>
        </w:tc>
        <w:tc>
          <w:tcPr>
            <w:tcW w:w="3150" w:type="dxa"/>
            <w:shd w:val="clear" w:color="auto" w:fill="F4CCCC"/>
            <w:tcMar>
              <w:top w:w="100" w:type="dxa"/>
              <w:left w:w="100" w:type="dxa"/>
              <w:bottom w:w="100" w:type="dxa"/>
              <w:right w:w="100" w:type="dxa"/>
            </w:tcMar>
          </w:tcPr>
          <w:p w14:paraId="4BB6DFB2"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yet</w:t>
            </w:r>
          </w:p>
        </w:tc>
        <w:tc>
          <w:tcPr>
            <w:tcW w:w="3210" w:type="dxa"/>
            <w:shd w:val="clear" w:color="auto" w:fill="F4CCCC"/>
            <w:tcMar>
              <w:top w:w="100" w:type="dxa"/>
              <w:left w:w="100" w:type="dxa"/>
              <w:bottom w:w="100" w:type="dxa"/>
              <w:right w:w="100" w:type="dxa"/>
            </w:tcMar>
          </w:tcPr>
          <w:p w14:paraId="41B07BA4"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in EGI catalogues and no plan to include them in the existing catalogues</w:t>
            </w:r>
          </w:p>
        </w:tc>
      </w:tr>
      <w:tr w:rsidR="00BC388A" w14:paraId="0939BD9D" w14:textId="77777777">
        <w:trPr>
          <w:trHeight w:val="300"/>
        </w:trPr>
        <w:tc>
          <w:tcPr>
            <w:tcW w:w="8910" w:type="dxa"/>
            <w:gridSpan w:val="3"/>
            <w:shd w:val="clear" w:color="auto" w:fill="EFEFEF"/>
          </w:tcPr>
          <w:p w14:paraId="2A513A63"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Environmental sciences</w:t>
            </w:r>
          </w:p>
        </w:tc>
      </w:tr>
      <w:tr w:rsidR="00BC388A" w14:paraId="63064D36" w14:textId="77777777">
        <w:tc>
          <w:tcPr>
            <w:tcW w:w="2550" w:type="dxa"/>
            <w:shd w:val="clear" w:color="auto" w:fill="auto"/>
            <w:tcMar>
              <w:top w:w="100" w:type="dxa"/>
              <w:left w:w="100" w:type="dxa"/>
              <w:bottom w:w="100" w:type="dxa"/>
              <w:right w:w="100" w:type="dxa"/>
            </w:tcMar>
          </w:tcPr>
          <w:p w14:paraId="072BD4C1" w14:textId="77777777" w:rsidR="00BC388A" w:rsidRDefault="00140473">
            <w:pPr>
              <w:spacing w:after="0" w:line="240" w:lineRule="auto"/>
              <w:rPr>
                <w:rFonts w:ascii="Calibri" w:eastAsia="Calibri" w:hAnsi="Calibri" w:cs="Calibri"/>
                <w:b/>
                <w:sz w:val="18"/>
                <w:szCs w:val="18"/>
              </w:rPr>
            </w:pPr>
            <w:proofErr w:type="spellStart"/>
            <w:r>
              <w:rPr>
                <w:rFonts w:ascii="Calibri" w:eastAsia="Calibri" w:hAnsi="Calibri" w:cs="Calibri"/>
                <w:b/>
                <w:sz w:val="18"/>
                <w:szCs w:val="18"/>
                <w:highlight w:val="white"/>
              </w:rPr>
              <w:t>SeaDataNet</w:t>
            </w:r>
            <w:proofErr w:type="spellEnd"/>
            <w:r>
              <w:rPr>
                <w:rFonts w:ascii="Calibri" w:eastAsia="Calibri" w:hAnsi="Calibri" w:cs="Calibri"/>
                <w:b/>
                <w:sz w:val="18"/>
                <w:szCs w:val="18"/>
                <w:highlight w:val="white"/>
              </w:rPr>
              <w:t xml:space="preserve"> </w:t>
            </w:r>
            <w:proofErr w:type="spellStart"/>
            <w:r>
              <w:rPr>
                <w:rFonts w:ascii="Calibri" w:eastAsia="Calibri" w:hAnsi="Calibri" w:cs="Calibri"/>
                <w:b/>
                <w:sz w:val="18"/>
                <w:szCs w:val="18"/>
                <w:highlight w:val="white"/>
              </w:rPr>
              <w:t>WebOcean</w:t>
            </w:r>
            <w:proofErr w:type="spellEnd"/>
            <w:r>
              <w:rPr>
                <w:rFonts w:ascii="Calibri" w:eastAsia="Calibri" w:hAnsi="Calibri" w:cs="Calibri"/>
                <w:b/>
                <w:sz w:val="18"/>
                <w:szCs w:val="18"/>
                <w:highlight w:val="white"/>
              </w:rPr>
              <w:t xml:space="preserve"> Data Analysis</w:t>
            </w:r>
          </w:p>
        </w:tc>
        <w:tc>
          <w:tcPr>
            <w:tcW w:w="3150" w:type="dxa"/>
            <w:shd w:val="clear" w:color="auto" w:fill="F4CCCC"/>
            <w:tcMar>
              <w:top w:w="100" w:type="dxa"/>
              <w:left w:w="100" w:type="dxa"/>
              <w:bottom w:w="100" w:type="dxa"/>
              <w:right w:w="100" w:type="dxa"/>
            </w:tcMar>
          </w:tcPr>
          <w:p w14:paraId="378DA3BD"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yet</w:t>
            </w:r>
          </w:p>
        </w:tc>
        <w:tc>
          <w:tcPr>
            <w:tcW w:w="3210" w:type="dxa"/>
            <w:shd w:val="clear" w:color="auto" w:fill="F4CCCC"/>
            <w:tcMar>
              <w:top w:w="100" w:type="dxa"/>
              <w:left w:w="100" w:type="dxa"/>
              <w:bottom w:w="100" w:type="dxa"/>
              <w:right w:w="100" w:type="dxa"/>
            </w:tcMar>
          </w:tcPr>
          <w:p w14:paraId="4FCF6945"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in EGI catalogues and no plan to include them in the existing catalogues</w:t>
            </w:r>
          </w:p>
        </w:tc>
      </w:tr>
      <w:tr w:rsidR="00BC388A" w14:paraId="752F324C" w14:textId="77777777">
        <w:tc>
          <w:tcPr>
            <w:tcW w:w="2550" w:type="dxa"/>
            <w:shd w:val="clear" w:color="auto" w:fill="auto"/>
            <w:tcMar>
              <w:top w:w="100" w:type="dxa"/>
              <w:left w:w="100" w:type="dxa"/>
              <w:bottom w:w="100" w:type="dxa"/>
              <w:right w:w="100" w:type="dxa"/>
            </w:tcMar>
          </w:tcPr>
          <w:p w14:paraId="03CD05F5"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highlight w:val="white"/>
              </w:rPr>
              <w:t>EMSO ERIC data services</w:t>
            </w:r>
          </w:p>
        </w:tc>
        <w:tc>
          <w:tcPr>
            <w:tcW w:w="3150" w:type="dxa"/>
            <w:shd w:val="clear" w:color="auto" w:fill="D9EAD3"/>
            <w:tcMar>
              <w:top w:w="100" w:type="dxa"/>
              <w:left w:w="100" w:type="dxa"/>
              <w:bottom w:w="100" w:type="dxa"/>
              <w:right w:w="100" w:type="dxa"/>
            </w:tcMar>
          </w:tcPr>
          <w:p w14:paraId="6B6A4CB6"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Onboarded as EMSO ERIC Data Portal</w:t>
            </w:r>
          </w:p>
        </w:tc>
        <w:tc>
          <w:tcPr>
            <w:tcW w:w="3210" w:type="dxa"/>
            <w:shd w:val="clear" w:color="auto" w:fill="F4CCCC"/>
            <w:tcMar>
              <w:top w:w="100" w:type="dxa"/>
              <w:left w:w="100" w:type="dxa"/>
              <w:bottom w:w="100" w:type="dxa"/>
              <w:right w:w="100" w:type="dxa"/>
            </w:tcMar>
          </w:tcPr>
          <w:p w14:paraId="680DD19C"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in EGI catalogues and no plan to include them in the existing catalogues</w:t>
            </w:r>
          </w:p>
        </w:tc>
      </w:tr>
      <w:tr w:rsidR="00BC388A" w14:paraId="559F3E90" w14:textId="77777777">
        <w:tc>
          <w:tcPr>
            <w:tcW w:w="2550" w:type="dxa"/>
            <w:shd w:val="clear" w:color="auto" w:fill="auto"/>
            <w:tcMar>
              <w:top w:w="100" w:type="dxa"/>
              <w:left w:w="100" w:type="dxa"/>
              <w:bottom w:w="100" w:type="dxa"/>
              <w:right w:w="100" w:type="dxa"/>
            </w:tcMar>
          </w:tcPr>
          <w:p w14:paraId="2EA98BA4"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highlight w:val="white"/>
              </w:rPr>
              <w:t>GBIF Cloud data space</w:t>
            </w:r>
          </w:p>
        </w:tc>
        <w:tc>
          <w:tcPr>
            <w:tcW w:w="3150" w:type="dxa"/>
            <w:shd w:val="clear" w:color="auto" w:fill="F4CCCC"/>
            <w:tcMar>
              <w:top w:w="100" w:type="dxa"/>
              <w:left w:w="100" w:type="dxa"/>
              <w:bottom w:w="100" w:type="dxa"/>
              <w:right w:w="100" w:type="dxa"/>
            </w:tcMar>
          </w:tcPr>
          <w:p w14:paraId="395EDA23"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yet</w:t>
            </w:r>
          </w:p>
        </w:tc>
        <w:tc>
          <w:tcPr>
            <w:tcW w:w="3210" w:type="dxa"/>
            <w:shd w:val="clear" w:color="auto" w:fill="F4CCCC"/>
            <w:tcMar>
              <w:top w:w="100" w:type="dxa"/>
              <w:left w:w="100" w:type="dxa"/>
              <w:bottom w:w="100" w:type="dxa"/>
              <w:right w:w="100" w:type="dxa"/>
            </w:tcMar>
          </w:tcPr>
          <w:p w14:paraId="06E3361A"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in EGI catalogues and no plan to include them in the existing catalogues</w:t>
            </w:r>
          </w:p>
        </w:tc>
      </w:tr>
      <w:tr w:rsidR="00BC388A" w14:paraId="2DFEE902" w14:textId="77777777">
        <w:tc>
          <w:tcPr>
            <w:tcW w:w="2550" w:type="dxa"/>
            <w:shd w:val="clear" w:color="auto" w:fill="auto"/>
            <w:tcMar>
              <w:top w:w="100" w:type="dxa"/>
              <w:left w:w="100" w:type="dxa"/>
              <w:bottom w:w="100" w:type="dxa"/>
              <w:right w:w="100" w:type="dxa"/>
            </w:tcMar>
          </w:tcPr>
          <w:p w14:paraId="59300037"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highlight w:val="white"/>
              </w:rPr>
              <w:lastRenderedPageBreak/>
              <w:t>Disaster mitigation and agriculture</w:t>
            </w:r>
          </w:p>
        </w:tc>
        <w:tc>
          <w:tcPr>
            <w:tcW w:w="3150" w:type="dxa"/>
            <w:shd w:val="clear" w:color="auto" w:fill="D9EAD3"/>
            <w:tcMar>
              <w:top w:w="100" w:type="dxa"/>
              <w:left w:w="100" w:type="dxa"/>
              <w:bottom w:w="100" w:type="dxa"/>
              <w:right w:w="100" w:type="dxa"/>
            </w:tcMar>
          </w:tcPr>
          <w:p w14:paraId="21851905"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 xml:space="preserve">Onboarding started for </w:t>
            </w:r>
            <w:proofErr w:type="spellStart"/>
            <w:r>
              <w:rPr>
                <w:rFonts w:ascii="Calibri" w:eastAsia="Calibri" w:hAnsi="Calibri" w:cs="Calibri"/>
                <w:b/>
                <w:sz w:val="18"/>
                <w:szCs w:val="18"/>
              </w:rPr>
              <w:t>iCOMCOT</w:t>
            </w:r>
            <w:proofErr w:type="spellEnd"/>
            <w:r>
              <w:rPr>
                <w:rFonts w:ascii="Calibri" w:eastAsia="Calibri" w:hAnsi="Calibri" w:cs="Calibri"/>
                <w:b/>
                <w:sz w:val="18"/>
                <w:szCs w:val="18"/>
              </w:rPr>
              <w:t xml:space="preserve"> portal</w:t>
            </w:r>
          </w:p>
        </w:tc>
        <w:tc>
          <w:tcPr>
            <w:tcW w:w="3210" w:type="dxa"/>
            <w:shd w:val="clear" w:color="auto" w:fill="F4CCCC"/>
            <w:tcMar>
              <w:top w:w="100" w:type="dxa"/>
              <w:left w:w="100" w:type="dxa"/>
              <w:bottom w:w="100" w:type="dxa"/>
              <w:right w:w="100" w:type="dxa"/>
            </w:tcMar>
          </w:tcPr>
          <w:p w14:paraId="0A1DA2E5"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in EGI catalogues and no plan to include them in the existing catalogues</w:t>
            </w:r>
          </w:p>
        </w:tc>
      </w:tr>
      <w:tr w:rsidR="00BC388A" w14:paraId="07DFB50D" w14:textId="77777777">
        <w:trPr>
          <w:trHeight w:val="380"/>
        </w:trPr>
        <w:tc>
          <w:tcPr>
            <w:tcW w:w="8910" w:type="dxa"/>
            <w:gridSpan w:val="3"/>
            <w:shd w:val="clear" w:color="auto" w:fill="EFEFEF"/>
          </w:tcPr>
          <w:p w14:paraId="273DC5F3" w14:textId="77777777" w:rsidR="00BC388A" w:rsidRDefault="00140473">
            <w:pPr>
              <w:pBdr>
                <w:top w:val="nil"/>
                <w:left w:val="nil"/>
                <w:bottom w:val="nil"/>
                <w:right w:val="nil"/>
                <w:between w:val="nil"/>
              </w:pBdr>
              <w:spacing w:after="0" w:line="240" w:lineRule="auto"/>
              <w:rPr>
                <w:rFonts w:ascii="Calibri" w:eastAsia="Calibri" w:hAnsi="Calibri" w:cs="Calibri"/>
                <w:b/>
                <w:sz w:val="18"/>
                <w:szCs w:val="18"/>
              </w:rPr>
            </w:pPr>
            <w:r>
              <w:rPr>
                <w:rFonts w:ascii="Calibri" w:eastAsia="Calibri" w:hAnsi="Calibri" w:cs="Calibri"/>
                <w:b/>
                <w:sz w:val="18"/>
                <w:szCs w:val="18"/>
              </w:rPr>
              <w:t>Social sciences and humanities</w:t>
            </w:r>
          </w:p>
        </w:tc>
      </w:tr>
      <w:tr w:rsidR="00BC388A" w14:paraId="0AA84C43" w14:textId="77777777">
        <w:tc>
          <w:tcPr>
            <w:tcW w:w="2550" w:type="dxa"/>
            <w:shd w:val="clear" w:color="auto" w:fill="auto"/>
            <w:tcMar>
              <w:top w:w="100" w:type="dxa"/>
              <w:left w:w="100" w:type="dxa"/>
              <w:bottom w:w="100" w:type="dxa"/>
              <w:right w:w="100" w:type="dxa"/>
            </w:tcMar>
          </w:tcPr>
          <w:p w14:paraId="2C3168EC" w14:textId="77777777" w:rsidR="00BC388A" w:rsidRDefault="00140473">
            <w:pPr>
              <w:spacing w:after="0" w:line="240" w:lineRule="auto"/>
              <w:rPr>
                <w:rFonts w:ascii="Calibri" w:eastAsia="Calibri" w:hAnsi="Calibri" w:cs="Calibri"/>
                <w:b/>
                <w:color w:val="172B4D"/>
                <w:sz w:val="18"/>
                <w:szCs w:val="18"/>
                <w:highlight w:val="white"/>
              </w:rPr>
            </w:pPr>
            <w:r>
              <w:rPr>
                <w:rFonts w:ascii="Calibri" w:eastAsia="Calibri" w:hAnsi="Calibri" w:cs="Calibri"/>
                <w:b/>
                <w:sz w:val="18"/>
                <w:szCs w:val="18"/>
                <w:highlight w:val="white"/>
              </w:rPr>
              <w:t>OPERAS Certification (DOAB</w:t>
            </w:r>
            <w:r>
              <w:rPr>
                <w:rFonts w:ascii="Calibri" w:eastAsia="Calibri" w:hAnsi="Calibri" w:cs="Calibri"/>
                <w:b/>
                <w:color w:val="172B4D"/>
                <w:sz w:val="18"/>
                <w:szCs w:val="18"/>
                <w:highlight w:val="white"/>
              </w:rPr>
              <w:t>)</w:t>
            </w:r>
          </w:p>
        </w:tc>
        <w:tc>
          <w:tcPr>
            <w:tcW w:w="3150" w:type="dxa"/>
            <w:shd w:val="clear" w:color="auto" w:fill="D9EAD3"/>
            <w:tcMar>
              <w:top w:w="100" w:type="dxa"/>
              <w:left w:w="100" w:type="dxa"/>
              <w:bottom w:w="100" w:type="dxa"/>
              <w:right w:w="100" w:type="dxa"/>
            </w:tcMar>
          </w:tcPr>
          <w:p w14:paraId="7E92FE39" w14:textId="77777777" w:rsidR="00BC388A" w:rsidRDefault="00140473">
            <w:pPr>
              <w:spacing w:after="0" w:line="240" w:lineRule="auto"/>
            </w:pPr>
            <w:r>
              <w:rPr>
                <w:rFonts w:ascii="Calibri" w:eastAsia="Calibri" w:hAnsi="Calibri" w:cs="Calibri"/>
                <w:b/>
                <w:sz w:val="18"/>
                <w:szCs w:val="18"/>
              </w:rPr>
              <w:t>Onboarded as OPERAS Certification (DOAB)</w:t>
            </w:r>
          </w:p>
        </w:tc>
        <w:tc>
          <w:tcPr>
            <w:tcW w:w="3210" w:type="dxa"/>
            <w:shd w:val="clear" w:color="auto" w:fill="F4CCCC"/>
            <w:tcMar>
              <w:top w:w="100" w:type="dxa"/>
              <w:left w:w="100" w:type="dxa"/>
              <w:bottom w:w="100" w:type="dxa"/>
              <w:right w:w="100" w:type="dxa"/>
            </w:tcMar>
          </w:tcPr>
          <w:p w14:paraId="682FBE66"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in EGI catalogues and no plan to include them in the existing catalogues</w:t>
            </w:r>
          </w:p>
        </w:tc>
      </w:tr>
    </w:tbl>
    <w:p w14:paraId="75826DD2" w14:textId="77777777" w:rsidR="00BC388A" w:rsidRDefault="00BC388A"/>
    <w:p w14:paraId="27BBF612" w14:textId="77777777" w:rsidR="00BC388A" w:rsidRDefault="00140473" w:rsidP="00567C6D">
      <w:pPr>
        <w:pStyle w:val="Heading2"/>
        <w:numPr>
          <w:ilvl w:val="0"/>
          <w:numId w:val="0"/>
        </w:numPr>
      </w:pPr>
      <w:bookmarkStart w:id="9" w:name="_Toc90565241"/>
      <w:r>
        <w:t>3.2. EGI-ACE services in EGI</w:t>
      </w:r>
      <w:bookmarkEnd w:id="9"/>
    </w:p>
    <w:p w14:paraId="70DBCFDA" w14:textId="77777777" w:rsidR="00BC388A" w:rsidRDefault="00140473">
      <w:r>
        <w:t xml:space="preserve">The EOSC Compute Platform service portfolio was assembled during the EGI-ACE proposal preparation time based on the EGI Foundation services (internal and external), and based on additional services that EGI Council members wished to offer for pan-European access via the EOSC Portal. </w:t>
      </w:r>
    </w:p>
    <w:p w14:paraId="3BC1CAB1" w14:textId="77777777" w:rsidR="00BC388A" w:rsidRDefault="00140473">
      <w:r>
        <w:t xml:space="preserve">Column 3 of Table 1 provides a service-by-service overview of the status of the EGI-ACE services in the EGI Service External/Internal portfolios. As can be seen, most of the EOSC Compute Platform services are already included in the EGI Catalogues (they are green in column 3): </w:t>
      </w:r>
    </w:p>
    <w:p w14:paraId="1489C2BE" w14:textId="77777777" w:rsidR="00BC388A" w:rsidRDefault="00140473">
      <w:pPr>
        <w:numPr>
          <w:ilvl w:val="0"/>
          <w:numId w:val="12"/>
        </w:numPr>
        <w:spacing w:after="0"/>
      </w:pPr>
      <w:r>
        <w:t>5/5 federated resource providers are in the EGI Catalogue (external)</w:t>
      </w:r>
    </w:p>
    <w:p w14:paraId="0400AFB8" w14:textId="77777777" w:rsidR="00BC388A" w:rsidRDefault="00140473">
      <w:pPr>
        <w:numPr>
          <w:ilvl w:val="0"/>
          <w:numId w:val="12"/>
        </w:numPr>
        <w:spacing w:after="0"/>
      </w:pPr>
      <w:r>
        <w:t>4/6 compute &amp; data federation services are in the EGI Catalogue (external)</w:t>
      </w:r>
    </w:p>
    <w:p w14:paraId="2961DE44" w14:textId="77777777" w:rsidR="00BC388A" w:rsidRDefault="00140473">
      <w:pPr>
        <w:numPr>
          <w:ilvl w:val="0"/>
          <w:numId w:val="12"/>
        </w:numPr>
        <w:spacing w:after="0"/>
      </w:pPr>
      <w:r>
        <w:t>2/8 platform services are in the EGI Catalogue (external)</w:t>
      </w:r>
    </w:p>
    <w:p w14:paraId="2A98A7ED" w14:textId="77777777" w:rsidR="00BC388A" w:rsidRDefault="00140473">
      <w:pPr>
        <w:numPr>
          <w:ilvl w:val="0"/>
          <w:numId w:val="12"/>
        </w:numPr>
      </w:pPr>
      <w:r>
        <w:t>6/6 federation management tools are in the EGI Catalogue (internal)</w:t>
      </w:r>
    </w:p>
    <w:p w14:paraId="3D6F050A" w14:textId="2C147FB6" w:rsidR="00BC388A" w:rsidRDefault="00140473">
      <w:r>
        <w:t xml:space="preserve">EGI Catalogue membership offers better sustainability for a service outside the project. One of the focus for the service portfolio management task of EGI-ACE in 2022 has to be the clarification of the relationship between the EOSC Compute Platform and the EGI Federation governance and portfolios. This is expected to result in the onboarding of additional services from the EOSC Compute Platform to the EGI Service Portfolios, and in open and transparent processes for new providers and new services to join the EOSC Compute Platform. This work has been stated as strategic recommendation #2 in the recently published ‘EGI-ACE Strategic Plan’ D2.2 deliverable. EGI-ACE Task 2.2 and WP7 will work on this with the EGI-ACE Project Management Board (PMB), the EGI Executive Board (EB), and the EGI Services and Solutions Board (SSB). </w:t>
      </w:r>
    </w:p>
    <w:p w14:paraId="67213795" w14:textId="05A6E7E0" w:rsidR="00BC388A" w:rsidRDefault="00140473">
      <w:r>
        <w:t xml:space="preserve">Services of the EGI-ACE Data Spaces are not part of the EGI Service Portfolios.  A subset of these Data Space services </w:t>
      </w:r>
      <w:r w:rsidR="00567C6D">
        <w:t>is</w:t>
      </w:r>
      <w:r>
        <w:t xml:space="preserve"> delivered by institutes that are represented in the EGI Council directly (e.g. EMSO ERIC), or indirectly (e.g. University of Utrecht represented by SURF). Some of the Data Space providers are outside the network of EGI Council members. The Data Space services are all thematic services, i.e. are relevant to specific scientific disciplines (which is narrower or broader depending on the thematic service). Given that the EGI Portfolios currently include only services that are </w:t>
      </w:r>
      <w:r w:rsidR="00567C6D">
        <w:t>crosscutting</w:t>
      </w:r>
      <w:r>
        <w:t xml:space="preserve"> across all disciplines and represent the ‘common denominator’ for big data science on e-infrastructures, the inclusion of EGI-ACE thematic services in the EGI Portfolios probably does not make sense. Thematic Services are better supported and promoted by the EGI community in alternative ways, such </w:t>
      </w:r>
      <w:r>
        <w:lastRenderedPageBreak/>
        <w:t>as ‘Service Level Agreements’ and use case stories</w:t>
      </w:r>
      <w:r>
        <w:rPr>
          <w:vertAlign w:val="superscript"/>
        </w:rPr>
        <w:footnoteReference w:id="9"/>
      </w:r>
      <w:r>
        <w:t xml:space="preserve">. </w:t>
      </w:r>
      <w:r w:rsidR="00567C6D">
        <w:t>However,</w:t>
      </w:r>
      <w:r>
        <w:t xml:space="preserve"> some thematic services that are appealing for several and broad disciplines (e.g. Galaxy for life sciences and environmental sciences) could be considered for stronger support by EGI beyond EGI-ACE. This needs to be discussed and decided in 2022 alongside the EOSC Compute Platform service action mentioned above. </w:t>
      </w:r>
    </w:p>
    <w:p w14:paraId="3AA39DBF" w14:textId="77777777" w:rsidR="00BC388A" w:rsidRDefault="00140473" w:rsidP="00567C6D">
      <w:pPr>
        <w:pStyle w:val="Heading1"/>
        <w:numPr>
          <w:ilvl w:val="0"/>
          <w:numId w:val="0"/>
        </w:numPr>
      </w:pPr>
      <w:bookmarkStart w:id="10" w:name="_heading=h.2ea09hrdq8uy" w:colFirst="0" w:colLast="0"/>
      <w:bookmarkStart w:id="11" w:name="_Toc90565242"/>
      <w:bookmarkEnd w:id="10"/>
      <w:r>
        <w:lastRenderedPageBreak/>
        <w:t>4. Technical interoperability</w:t>
      </w:r>
      <w:bookmarkEnd w:id="11"/>
    </w:p>
    <w:p w14:paraId="31E76B73" w14:textId="77777777" w:rsidR="00BC388A" w:rsidRDefault="00140473">
      <w:r>
        <w:t>The EOSC Compute platform delivered by EGI-ACE will guarantee technical interoperability supporting the standards and interfaces of the EOSC Interoperability Framework (EIF), that is currently being built in the EOSC Future project in collaboration with other relevant initiatives, including the EGI-ACE project.</w:t>
      </w:r>
    </w:p>
    <w:p w14:paraId="1611F272" w14:textId="77777777" w:rsidR="00BC388A" w:rsidRDefault="00140473">
      <w:r>
        <w:t>At the time of writing EOSC does not have an Interoperability Framework. The ‘onboarding’ process implements the compliance between EOSC Core and Exchange services.</w:t>
      </w:r>
    </w:p>
    <w:p w14:paraId="498EC6D2" w14:textId="5A8DD129" w:rsidR="00BC388A" w:rsidRDefault="00140473">
      <w:r>
        <w:t>Once developed, the EIF will facilitate interdisciplinary research and foster service/resource integration and composability. It will be made of a wide library of policies and interoperability guidelines describing standards and API’s. The EIF will provide guidelines for providers to connect resources to EOSC-Exchange but will also provide guidelines to be adopted within services made available through EOSC-Core, supporting the composability and integration of resources across boundaries. EGI-ACE is an active actor in shaping the EIF and is collaborating with EOSC Future to define the interoperability guidelines for EOSC Core, providing requirements and feedback with a focus on the interfaces for interconnecting the EOSC Compute platform to the Core platform.</w:t>
      </w:r>
    </w:p>
    <w:p w14:paraId="056E441A" w14:textId="77777777" w:rsidR="00BC388A" w:rsidRDefault="00140473">
      <w:r>
        <w:t>When the interoperability guidelines for the EOSC Core reaches an adequate level of maturity, EGI-ACE will update its services to be compliant as it is needed. However, the required effort is not expected to be major since many of the technologies adopted by EOSC Future to implement the EOSC Core (e.g. monitoring, AAI, accounting, etc) are also used by EGI to implement its service management tools. A clear example is AAI, the interoperability guidelines for AAI will be derived from the work delivered by the AARC project series</w:t>
      </w:r>
      <w:r>
        <w:rPr>
          <w:vertAlign w:val="superscript"/>
        </w:rPr>
        <w:footnoteReference w:id="10"/>
      </w:r>
      <w:r>
        <w:t xml:space="preserve"> and further enhanced by AEGIS</w:t>
      </w:r>
      <w:r>
        <w:rPr>
          <w:vertAlign w:val="superscript"/>
        </w:rPr>
        <w:footnoteReference w:id="11"/>
      </w:r>
      <w:r>
        <w:t>. The AAI solution adopted by EGI-ACE, Check-in, is already compliant with many of these interoperability standards and joining the future EOSC AAI Federation will be a simple task for EGI-ACE.</w:t>
      </w:r>
    </w:p>
    <w:p w14:paraId="72375CCE" w14:textId="77777777" w:rsidR="00BC388A" w:rsidRDefault="00140473">
      <w:r>
        <w:t>Furthermore, EGI-ACE will contribute to the interoperability guidelines for EOSC Exchange developing guidelines in the technical areas of its interest (e.g. Computing, Data Platform for processing, etc.). As a first step in this direction, EGI-ACE submitted a proposal for a compute continuum Working Group in EOSC Future, which aims at defining a metadata schema as extension of the EOSC profile to describe the compute resources in the EOSC resource catalogue. This metadata schema will be a flexible and extensible specification for describing services providing access to generic computing resources covering as much as possible the complete compute continuum: cloud, HTC and HPC and potentially the edge, including access to hardware accelerators (e.g. GPUs) in all these systems whenever available. Having such specifications will mitigate the lack of standards in the compute service area and provide the basis to interoperation by enabling the discovery and potentially automated usage of compute services by the user communities. Thanks to this metadata schema, user communities and single users/</w:t>
      </w:r>
      <w:proofErr w:type="spellStart"/>
      <w:r>
        <w:t>LToS</w:t>
      </w:r>
      <w:proofErr w:type="spellEnd"/>
      <w:r>
        <w:t xml:space="preserve"> with computing needs for a specific scientific aim can be triaged and dispatched to the most appropriate kind of compute </w:t>
      </w:r>
      <w:r>
        <w:lastRenderedPageBreak/>
        <w:t>platform according to their requirements. The WG was approved by the EOSC Future Technical Coordination Board and will start its operations in January 2022.</w:t>
      </w:r>
    </w:p>
    <w:p w14:paraId="50F02FFD" w14:textId="77777777" w:rsidR="00BC388A" w:rsidRDefault="00140473">
      <w:r>
        <w:t>Finally, EGI-ACE will contribute to the validation of the EIF developing resource composability demonstrators and early adopter pilots in collaboration with EOSC Future and the other INFRAEOSC-07 projects. These pilots will foresee the combined usage of services from multiple providers with a level of automation expected to increase during the project lifetime, when more services and resources will adhere to the EOSC interoperability framework and its guidelines. EGI-ACE already contributes to the development of a demonstrator using the EGI Notebook service that was presented during the first EOSC Future interim review. As has been shown in the demo, the EGI-ACE Notebooks service is already interoperable with the B2DROP service</w:t>
      </w:r>
      <w:r>
        <w:rPr>
          <w:vertAlign w:val="superscript"/>
        </w:rPr>
        <w:footnoteReference w:id="12"/>
      </w:r>
      <w:r>
        <w:t xml:space="preserve"> of DICE, and the </w:t>
      </w:r>
      <w:proofErr w:type="spellStart"/>
      <w:r>
        <w:t>Zenodo</w:t>
      </w:r>
      <w:proofErr w:type="spellEnd"/>
      <w:r>
        <w:t xml:space="preserve"> service</w:t>
      </w:r>
      <w:r>
        <w:rPr>
          <w:vertAlign w:val="superscript"/>
        </w:rPr>
        <w:footnoteReference w:id="13"/>
      </w:r>
      <w:r>
        <w:t xml:space="preserve"> of OpenAIRE-Nexus.</w:t>
      </w:r>
    </w:p>
    <w:p w14:paraId="296DDF25" w14:textId="77777777" w:rsidR="00BC388A" w:rsidRDefault="00140473">
      <w:r>
        <w:t>In addition to the collaboration with EOSC Future, EGI-ACE will also contribute to the EOSC Association (EOSC-A) task forces with its own representatives (See Table 2). Such EOSC-A TFs are expected to steer the EOSC evolution and, in particular, the technical ones will also perform a key role in defining the future directions of the EIF. In this context, the experience gained dealing with real use cases will make the contributions of the EGI-ACE representatives valuable for the activities of these TFs.</w:t>
      </w:r>
    </w:p>
    <w:p w14:paraId="771646EF" w14:textId="77777777" w:rsidR="00BC388A" w:rsidRDefault="00BC388A"/>
    <w:p w14:paraId="2CAC3D61" w14:textId="77777777" w:rsidR="00BC388A" w:rsidRDefault="00140473">
      <w:pPr>
        <w:rPr>
          <w:sz w:val="20"/>
          <w:szCs w:val="20"/>
        </w:rPr>
      </w:pPr>
      <w:r>
        <w:rPr>
          <w:sz w:val="20"/>
          <w:szCs w:val="20"/>
        </w:rPr>
        <w:t xml:space="preserve">Table 2: EGI-ACE participation in the technical Task Forces of the EOSC Association. </w:t>
      </w:r>
    </w:p>
    <w:tbl>
      <w:tblPr>
        <w:tblStyle w:val="ab"/>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00"/>
        <w:gridCol w:w="4830"/>
        <w:gridCol w:w="1500"/>
      </w:tblGrid>
      <w:tr w:rsidR="00BC388A" w14:paraId="6429627F" w14:textId="77777777">
        <w:tc>
          <w:tcPr>
            <w:tcW w:w="2700" w:type="dxa"/>
            <w:shd w:val="clear" w:color="auto" w:fill="C9DAF8"/>
            <w:tcMar>
              <w:top w:w="100" w:type="dxa"/>
              <w:left w:w="100" w:type="dxa"/>
              <w:bottom w:w="100" w:type="dxa"/>
              <w:right w:w="100" w:type="dxa"/>
            </w:tcMar>
          </w:tcPr>
          <w:p w14:paraId="66BB8422" w14:textId="77777777" w:rsidR="00BC388A" w:rsidRDefault="00140473">
            <w:pPr>
              <w:widowControl w:val="0"/>
              <w:spacing w:after="0" w:line="240" w:lineRule="auto"/>
              <w:jc w:val="left"/>
              <w:rPr>
                <w:b/>
                <w:sz w:val="20"/>
                <w:szCs w:val="20"/>
              </w:rPr>
            </w:pPr>
            <w:r>
              <w:rPr>
                <w:b/>
                <w:sz w:val="20"/>
                <w:szCs w:val="20"/>
              </w:rPr>
              <w:t>EOSC Task Force</w:t>
            </w:r>
          </w:p>
        </w:tc>
        <w:tc>
          <w:tcPr>
            <w:tcW w:w="4830" w:type="dxa"/>
            <w:shd w:val="clear" w:color="auto" w:fill="C9DAF8"/>
            <w:tcMar>
              <w:top w:w="100" w:type="dxa"/>
              <w:left w:w="100" w:type="dxa"/>
              <w:bottom w:w="100" w:type="dxa"/>
              <w:right w:w="100" w:type="dxa"/>
            </w:tcMar>
          </w:tcPr>
          <w:p w14:paraId="42C8FAA5" w14:textId="77777777" w:rsidR="00BC388A" w:rsidRDefault="00140473">
            <w:pPr>
              <w:widowControl w:val="0"/>
              <w:spacing w:after="0" w:line="240" w:lineRule="auto"/>
              <w:jc w:val="left"/>
              <w:rPr>
                <w:b/>
                <w:sz w:val="20"/>
                <w:szCs w:val="20"/>
              </w:rPr>
            </w:pPr>
            <w:r>
              <w:rPr>
                <w:b/>
                <w:sz w:val="20"/>
                <w:szCs w:val="20"/>
              </w:rPr>
              <w:t>Relevance for EGI-ACE</w:t>
            </w:r>
          </w:p>
        </w:tc>
        <w:tc>
          <w:tcPr>
            <w:tcW w:w="1500" w:type="dxa"/>
            <w:shd w:val="clear" w:color="auto" w:fill="C9DAF8"/>
            <w:tcMar>
              <w:top w:w="100" w:type="dxa"/>
              <w:left w:w="100" w:type="dxa"/>
              <w:bottom w:w="100" w:type="dxa"/>
              <w:right w:w="100" w:type="dxa"/>
            </w:tcMar>
          </w:tcPr>
          <w:p w14:paraId="3344742B" w14:textId="77777777" w:rsidR="00BC388A" w:rsidRDefault="00140473">
            <w:pPr>
              <w:widowControl w:val="0"/>
              <w:spacing w:after="0" w:line="240" w:lineRule="auto"/>
              <w:jc w:val="left"/>
              <w:rPr>
                <w:b/>
                <w:sz w:val="20"/>
                <w:szCs w:val="20"/>
              </w:rPr>
            </w:pPr>
            <w:r>
              <w:rPr>
                <w:b/>
                <w:sz w:val="20"/>
                <w:szCs w:val="20"/>
              </w:rPr>
              <w:t>WPs/Tasks</w:t>
            </w:r>
          </w:p>
        </w:tc>
      </w:tr>
      <w:tr w:rsidR="00BC388A" w14:paraId="510F3D33" w14:textId="77777777">
        <w:tc>
          <w:tcPr>
            <w:tcW w:w="2700" w:type="dxa"/>
            <w:shd w:val="clear" w:color="auto" w:fill="auto"/>
            <w:tcMar>
              <w:top w:w="100" w:type="dxa"/>
              <w:left w:w="100" w:type="dxa"/>
              <w:bottom w:w="100" w:type="dxa"/>
              <w:right w:w="100" w:type="dxa"/>
            </w:tcMar>
          </w:tcPr>
          <w:p w14:paraId="22B489EA" w14:textId="77777777" w:rsidR="00BC388A" w:rsidRDefault="00140473">
            <w:pPr>
              <w:jc w:val="left"/>
              <w:rPr>
                <w:sz w:val="20"/>
                <w:szCs w:val="20"/>
              </w:rPr>
            </w:pPr>
            <w:r>
              <w:rPr>
                <w:sz w:val="20"/>
                <w:szCs w:val="20"/>
              </w:rPr>
              <w:t>Technical interoperability of data and services</w:t>
            </w:r>
          </w:p>
        </w:tc>
        <w:tc>
          <w:tcPr>
            <w:tcW w:w="4830" w:type="dxa"/>
            <w:shd w:val="clear" w:color="auto" w:fill="auto"/>
            <w:tcMar>
              <w:top w:w="100" w:type="dxa"/>
              <w:left w:w="100" w:type="dxa"/>
              <w:bottom w:w="100" w:type="dxa"/>
              <w:right w:w="100" w:type="dxa"/>
            </w:tcMar>
          </w:tcPr>
          <w:p w14:paraId="031B9F71" w14:textId="77777777" w:rsidR="00BC388A" w:rsidRDefault="00140473">
            <w:pPr>
              <w:jc w:val="left"/>
              <w:rPr>
                <w:sz w:val="20"/>
                <w:szCs w:val="20"/>
              </w:rPr>
            </w:pPr>
            <w:r>
              <w:rPr>
                <w:sz w:val="20"/>
                <w:szCs w:val="20"/>
              </w:rPr>
              <w:t xml:space="preserve">The experience in implementing interoperability guidelines will be shared </w:t>
            </w:r>
          </w:p>
        </w:tc>
        <w:tc>
          <w:tcPr>
            <w:tcW w:w="1500" w:type="dxa"/>
            <w:shd w:val="clear" w:color="auto" w:fill="auto"/>
            <w:tcMar>
              <w:top w:w="100" w:type="dxa"/>
              <w:left w:w="100" w:type="dxa"/>
              <w:bottom w:w="100" w:type="dxa"/>
              <w:right w:w="100" w:type="dxa"/>
            </w:tcMar>
          </w:tcPr>
          <w:p w14:paraId="55C065D3" w14:textId="77777777" w:rsidR="00BC388A" w:rsidRDefault="00140473">
            <w:pPr>
              <w:ind w:left="720" w:hanging="360"/>
              <w:jc w:val="left"/>
              <w:rPr>
                <w:sz w:val="20"/>
                <w:szCs w:val="20"/>
              </w:rPr>
            </w:pPr>
            <w:r>
              <w:rPr>
                <w:sz w:val="20"/>
                <w:szCs w:val="20"/>
              </w:rPr>
              <w:t>T2.2</w:t>
            </w:r>
          </w:p>
        </w:tc>
      </w:tr>
      <w:tr w:rsidR="00BC388A" w14:paraId="69E850DC" w14:textId="77777777">
        <w:tc>
          <w:tcPr>
            <w:tcW w:w="2700" w:type="dxa"/>
            <w:shd w:val="clear" w:color="auto" w:fill="auto"/>
            <w:tcMar>
              <w:top w:w="100" w:type="dxa"/>
              <w:left w:w="100" w:type="dxa"/>
              <w:bottom w:w="100" w:type="dxa"/>
              <w:right w:w="100" w:type="dxa"/>
            </w:tcMar>
          </w:tcPr>
          <w:p w14:paraId="50ABAD6F" w14:textId="77777777" w:rsidR="00BC388A" w:rsidRDefault="00140473">
            <w:pPr>
              <w:jc w:val="left"/>
              <w:rPr>
                <w:sz w:val="20"/>
                <w:szCs w:val="20"/>
              </w:rPr>
            </w:pPr>
            <w:r>
              <w:rPr>
                <w:sz w:val="20"/>
                <w:szCs w:val="20"/>
              </w:rPr>
              <w:t>AAI Architecture</w:t>
            </w:r>
          </w:p>
        </w:tc>
        <w:tc>
          <w:tcPr>
            <w:tcW w:w="4830" w:type="dxa"/>
            <w:shd w:val="clear" w:color="auto" w:fill="auto"/>
            <w:tcMar>
              <w:top w:w="100" w:type="dxa"/>
              <w:left w:w="100" w:type="dxa"/>
              <w:bottom w:w="100" w:type="dxa"/>
              <w:right w:w="100" w:type="dxa"/>
            </w:tcMar>
          </w:tcPr>
          <w:p w14:paraId="65296858" w14:textId="77777777" w:rsidR="00BC388A" w:rsidRDefault="00140473">
            <w:pPr>
              <w:jc w:val="left"/>
              <w:rPr>
                <w:sz w:val="20"/>
                <w:szCs w:val="20"/>
              </w:rPr>
            </w:pPr>
            <w:r>
              <w:rPr>
                <w:sz w:val="20"/>
                <w:szCs w:val="20"/>
              </w:rPr>
              <w:t>Ensuring the continued compatibility of the EGI Check-in service with the EOSC AAI requirements</w:t>
            </w:r>
          </w:p>
        </w:tc>
        <w:tc>
          <w:tcPr>
            <w:tcW w:w="1500" w:type="dxa"/>
            <w:shd w:val="clear" w:color="auto" w:fill="auto"/>
            <w:tcMar>
              <w:top w:w="100" w:type="dxa"/>
              <w:left w:w="100" w:type="dxa"/>
              <w:bottom w:w="100" w:type="dxa"/>
              <w:right w:w="100" w:type="dxa"/>
            </w:tcMar>
          </w:tcPr>
          <w:p w14:paraId="0094DCD4" w14:textId="77777777" w:rsidR="00BC388A" w:rsidRDefault="00140473">
            <w:pPr>
              <w:ind w:left="720" w:hanging="360"/>
              <w:jc w:val="left"/>
              <w:rPr>
                <w:sz w:val="20"/>
                <w:szCs w:val="20"/>
              </w:rPr>
            </w:pPr>
            <w:r>
              <w:rPr>
                <w:sz w:val="20"/>
                <w:szCs w:val="20"/>
              </w:rPr>
              <w:t>T7.6</w:t>
            </w:r>
          </w:p>
        </w:tc>
      </w:tr>
      <w:tr w:rsidR="00BC388A" w14:paraId="55B5EA29" w14:textId="77777777">
        <w:tc>
          <w:tcPr>
            <w:tcW w:w="2700" w:type="dxa"/>
            <w:shd w:val="clear" w:color="auto" w:fill="auto"/>
            <w:tcMar>
              <w:top w:w="100" w:type="dxa"/>
              <w:left w:w="100" w:type="dxa"/>
              <w:bottom w:w="100" w:type="dxa"/>
              <w:right w:w="100" w:type="dxa"/>
            </w:tcMar>
          </w:tcPr>
          <w:p w14:paraId="1072E955" w14:textId="77777777" w:rsidR="00BC388A" w:rsidRDefault="00140473">
            <w:pPr>
              <w:jc w:val="left"/>
              <w:rPr>
                <w:sz w:val="20"/>
                <w:szCs w:val="20"/>
              </w:rPr>
            </w:pPr>
            <w:r>
              <w:rPr>
                <w:sz w:val="20"/>
                <w:szCs w:val="20"/>
              </w:rPr>
              <w:t>Researcher engagement and adoption</w:t>
            </w:r>
          </w:p>
        </w:tc>
        <w:tc>
          <w:tcPr>
            <w:tcW w:w="4830" w:type="dxa"/>
            <w:shd w:val="clear" w:color="auto" w:fill="auto"/>
            <w:tcMar>
              <w:top w:w="100" w:type="dxa"/>
              <w:left w:w="100" w:type="dxa"/>
              <w:bottom w:w="100" w:type="dxa"/>
              <w:right w:w="100" w:type="dxa"/>
            </w:tcMar>
          </w:tcPr>
          <w:p w14:paraId="236E25EA" w14:textId="77777777" w:rsidR="00BC388A" w:rsidRDefault="00140473">
            <w:pPr>
              <w:jc w:val="left"/>
              <w:rPr>
                <w:sz w:val="20"/>
                <w:szCs w:val="20"/>
              </w:rPr>
            </w:pPr>
            <w:r>
              <w:rPr>
                <w:sz w:val="20"/>
                <w:szCs w:val="20"/>
              </w:rPr>
              <w:t>The uptake of EGI-ACE services, the understanding of community needs and areas of unmet demands can be fed into it</w:t>
            </w:r>
          </w:p>
        </w:tc>
        <w:tc>
          <w:tcPr>
            <w:tcW w:w="1500" w:type="dxa"/>
            <w:shd w:val="clear" w:color="auto" w:fill="auto"/>
            <w:tcMar>
              <w:top w:w="100" w:type="dxa"/>
              <w:left w:w="100" w:type="dxa"/>
              <w:bottom w:w="100" w:type="dxa"/>
              <w:right w:w="100" w:type="dxa"/>
            </w:tcMar>
          </w:tcPr>
          <w:p w14:paraId="53B15926" w14:textId="77777777" w:rsidR="00BC388A" w:rsidRDefault="00140473">
            <w:pPr>
              <w:jc w:val="center"/>
              <w:rPr>
                <w:sz w:val="20"/>
                <w:szCs w:val="20"/>
              </w:rPr>
            </w:pPr>
            <w:r>
              <w:rPr>
                <w:sz w:val="20"/>
                <w:szCs w:val="20"/>
              </w:rPr>
              <w:t>T2.3</w:t>
            </w:r>
          </w:p>
        </w:tc>
      </w:tr>
      <w:tr w:rsidR="00BC388A" w14:paraId="701DF057" w14:textId="77777777">
        <w:trPr>
          <w:trHeight w:val="975"/>
        </w:trPr>
        <w:tc>
          <w:tcPr>
            <w:tcW w:w="2700" w:type="dxa"/>
            <w:shd w:val="clear" w:color="auto" w:fill="auto"/>
            <w:tcMar>
              <w:top w:w="100" w:type="dxa"/>
              <w:left w:w="100" w:type="dxa"/>
              <w:bottom w:w="100" w:type="dxa"/>
              <w:right w:w="100" w:type="dxa"/>
            </w:tcMar>
          </w:tcPr>
          <w:p w14:paraId="3EE4FB30" w14:textId="77777777" w:rsidR="00BC388A" w:rsidRDefault="00140473">
            <w:pPr>
              <w:jc w:val="left"/>
              <w:rPr>
                <w:sz w:val="20"/>
                <w:szCs w:val="20"/>
              </w:rPr>
            </w:pPr>
            <w:r>
              <w:rPr>
                <w:sz w:val="20"/>
                <w:szCs w:val="20"/>
              </w:rPr>
              <w:t>FAIR metrics and data quality</w:t>
            </w:r>
          </w:p>
        </w:tc>
        <w:tc>
          <w:tcPr>
            <w:tcW w:w="4830" w:type="dxa"/>
            <w:shd w:val="clear" w:color="auto" w:fill="auto"/>
            <w:tcMar>
              <w:top w:w="100" w:type="dxa"/>
              <w:left w:w="100" w:type="dxa"/>
              <w:bottom w:w="100" w:type="dxa"/>
              <w:right w:w="100" w:type="dxa"/>
            </w:tcMar>
          </w:tcPr>
          <w:p w14:paraId="71854789" w14:textId="77777777" w:rsidR="00BC388A" w:rsidRDefault="00140473">
            <w:pPr>
              <w:jc w:val="left"/>
              <w:rPr>
                <w:sz w:val="20"/>
                <w:szCs w:val="20"/>
              </w:rPr>
            </w:pPr>
            <w:r>
              <w:rPr>
                <w:sz w:val="20"/>
                <w:szCs w:val="20"/>
              </w:rPr>
              <w:t>The experience in conducting FAIR assessment of data and services can be shared with the TF</w:t>
            </w:r>
          </w:p>
        </w:tc>
        <w:tc>
          <w:tcPr>
            <w:tcW w:w="1500" w:type="dxa"/>
            <w:shd w:val="clear" w:color="auto" w:fill="auto"/>
            <w:tcMar>
              <w:top w:w="100" w:type="dxa"/>
              <w:left w:w="100" w:type="dxa"/>
              <w:bottom w:w="100" w:type="dxa"/>
              <w:right w:w="100" w:type="dxa"/>
            </w:tcMar>
          </w:tcPr>
          <w:p w14:paraId="21165094" w14:textId="77777777" w:rsidR="00BC388A" w:rsidRDefault="00140473">
            <w:pPr>
              <w:jc w:val="center"/>
              <w:rPr>
                <w:sz w:val="20"/>
                <w:szCs w:val="20"/>
              </w:rPr>
            </w:pPr>
            <w:r>
              <w:rPr>
                <w:sz w:val="20"/>
                <w:szCs w:val="20"/>
              </w:rPr>
              <w:t>T2.2</w:t>
            </w:r>
          </w:p>
        </w:tc>
      </w:tr>
      <w:tr w:rsidR="00BC388A" w14:paraId="5898EFAB" w14:textId="77777777">
        <w:tc>
          <w:tcPr>
            <w:tcW w:w="2700" w:type="dxa"/>
            <w:shd w:val="clear" w:color="auto" w:fill="auto"/>
            <w:tcMar>
              <w:top w:w="100" w:type="dxa"/>
              <w:left w:w="100" w:type="dxa"/>
              <w:bottom w:w="100" w:type="dxa"/>
              <w:right w:w="100" w:type="dxa"/>
            </w:tcMar>
          </w:tcPr>
          <w:p w14:paraId="479A2ABF" w14:textId="77777777" w:rsidR="00BC388A" w:rsidRDefault="00140473">
            <w:pPr>
              <w:jc w:val="left"/>
              <w:rPr>
                <w:sz w:val="20"/>
                <w:szCs w:val="20"/>
              </w:rPr>
            </w:pPr>
            <w:r>
              <w:rPr>
                <w:sz w:val="20"/>
                <w:szCs w:val="20"/>
              </w:rPr>
              <w:t>Semantic interoperability</w:t>
            </w:r>
          </w:p>
        </w:tc>
        <w:tc>
          <w:tcPr>
            <w:tcW w:w="4830" w:type="dxa"/>
            <w:shd w:val="clear" w:color="auto" w:fill="auto"/>
            <w:tcMar>
              <w:top w:w="100" w:type="dxa"/>
              <w:left w:w="100" w:type="dxa"/>
              <w:bottom w:w="100" w:type="dxa"/>
              <w:right w:w="100" w:type="dxa"/>
            </w:tcMar>
          </w:tcPr>
          <w:p w14:paraId="0066C605" w14:textId="77777777" w:rsidR="00BC388A" w:rsidRDefault="00140473">
            <w:pPr>
              <w:rPr>
                <w:sz w:val="20"/>
                <w:szCs w:val="20"/>
              </w:rPr>
            </w:pPr>
            <w:r>
              <w:rPr>
                <w:sz w:val="20"/>
                <w:szCs w:val="20"/>
              </w:rPr>
              <w:t xml:space="preserve">EGI-ACE data spaces can provide input, or take outputs for implementation </w:t>
            </w:r>
          </w:p>
        </w:tc>
        <w:tc>
          <w:tcPr>
            <w:tcW w:w="1500" w:type="dxa"/>
            <w:shd w:val="clear" w:color="auto" w:fill="auto"/>
            <w:tcMar>
              <w:top w:w="100" w:type="dxa"/>
              <w:left w:w="100" w:type="dxa"/>
              <w:bottom w:w="100" w:type="dxa"/>
              <w:right w:w="100" w:type="dxa"/>
            </w:tcMar>
          </w:tcPr>
          <w:p w14:paraId="01C75F20" w14:textId="77777777" w:rsidR="00BC388A" w:rsidRDefault="00140473">
            <w:pPr>
              <w:ind w:left="720" w:hanging="360"/>
              <w:jc w:val="left"/>
              <w:rPr>
                <w:sz w:val="20"/>
                <w:szCs w:val="20"/>
              </w:rPr>
            </w:pPr>
            <w:r>
              <w:rPr>
                <w:sz w:val="20"/>
                <w:szCs w:val="20"/>
              </w:rPr>
              <w:t>WP5</w:t>
            </w:r>
          </w:p>
        </w:tc>
      </w:tr>
      <w:tr w:rsidR="00BC388A" w14:paraId="27CFBFFE" w14:textId="77777777">
        <w:tc>
          <w:tcPr>
            <w:tcW w:w="2700" w:type="dxa"/>
            <w:shd w:val="clear" w:color="auto" w:fill="auto"/>
            <w:tcMar>
              <w:top w:w="100" w:type="dxa"/>
              <w:left w:w="100" w:type="dxa"/>
              <w:bottom w:w="100" w:type="dxa"/>
              <w:right w:w="100" w:type="dxa"/>
            </w:tcMar>
          </w:tcPr>
          <w:p w14:paraId="7E2F5F4D" w14:textId="77777777" w:rsidR="00BC388A" w:rsidRDefault="00140473">
            <w:pPr>
              <w:jc w:val="left"/>
              <w:rPr>
                <w:sz w:val="20"/>
                <w:szCs w:val="20"/>
              </w:rPr>
            </w:pPr>
            <w:r>
              <w:rPr>
                <w:sz w:val="20"/>
                <w:szCs w:val="20"/>
              </w:rPr>
              <w:lastRenderedPageBreak/>
              <w:t>Infrastructure for quality research software</w:t>
            </w:r>
          </w:p>
        </w:tc>
        <w:tc>
          <w:tcPr>
            <w:tcW w:w="4830" w:type="dxa"/>
            <w:shd w:val="clear" w:color="auto" w:fill="auto"/>
            <w:tcMar>
              <w:top w:w="100" w:type="dxa"/>
              <w:left w:w="100" w:type="dxa"/>
              <w:bottom w:w="100" w:type="dxa"/>
              <w:right w:w="100" w:type="dxa"/>
            </w:tcMar>
          </w:tcPr>
          <w:p w14:paraId="7A681856" w14:textId="77777777" w:rsidR="00BC388A" w:rsidRDefault="00140473">
            <w:pPr>
              <w:jc w:val="left"/>
              <w:rPr>
                <w:sz w:val="20"/>
                <w:szCs w:val="20"/>
              </w:rPr>
            </w:pPr>
            <w:r>
              <w:rPr>
                <w:sz w:val="20"/>
                <w:szCs w:val="20"/>
              </w:rPr>
              <w:t>Alignment with the EGI software provisioning infrastructure</w:t>
            </w:r>
          </w:p>
        </w:tc>
        <w:tc>
          <w:tcPr>
            <w:tcW w:w="1500" w:type="dxa"/>
            <w:shd w:val="clear" w:color="auto" w:fill="auto"/>
            <w:tcMar>
              <w:top w:w="100" w:type="dxa"/>
              <w:left w:w="100" w:type="dxa"/>
              <w:bottom w:w="100" w:type="dxa"/>
              <w:right w:w="100" w:type="dxa"/>
            </w:tcMar>
          </w:tcPr>
          <w:p w14:paraId="067A95C1" w14:textId="77777777" w:rsidR="00BC388A" w:rsidRDefault="00140473">
            <w:pPr>
              <w:ind w:left="720" w:hanging="360"/>
              <w:jc w:val="left"/>
              <w:rPr>
                <w:sz w:val="20"/>
                <w:szCs w:val="20"/>
              </w:rPr>
            </w:pPr>
            <w:r>
              <w:rPr>
                <w:sz w:val="20"/>
                <w:szCs w:val="20"/>
              </w:rPr>
              <w:t>T7.6</w:t>
            </w:r>
          </w:p>
        </w:tc>
      </w:tr>
      <w:tr w:rsidR="00BC388A" w14:paraId="08C69007" w14:textId="77777777">
        <w:tc>
          <w:tcPr>
            <w:tcW w:w="2700" w:type="dxa"/>
            <w:shd w:val="clear" w:color="auto" w:fill="auto"/>
            <w:tcMar>
              <w:top w:w="100" w:type="dxa"/>
              <w:left w:w="100" w:type="dxa"/>
              <w:bottom w:w="100" w:type="dxa"/>
              <w:right w:w="100" w:type="dxa"/>
            </w:tcMar>
          </w:tcPr>
          <w:p w14:paraId="6805338F" w14:textId="77777777" w:rsidR="00BC388A" w:rsidRDefault="00140473">
            <w:pPr>
              <w:jc w:val="left"/>
              <w:rPr>
                <w:sz w:val="20"/>
                <w:szCs w:val="20"/>
              </w:rPr>
            </w:pPr>
            <w:r>
              <w:rPr>
                <w:sz w:val="20"/>
                <w:szCs w:val="20"/>
              </w:rPr>
              <w:t>PID policy and implementation</w:t>
            </w:r>
          </w:p>
        </w:tc>
        <w:tc>
          <w:tcPr>
            <w:tcW w:w="4830" w:type="dxa"/>
            <w:shd w:val="clear" w:color="auto" w:fill="auto"/>
            <w:tcMar>
              <w:top w:w="100" w:type="dxa"/>
              <w:left w:w="100" w:type="dxa"/>
              <w:bottom w:w="100" w:type="dxa"/>
              <w:right w:w="100" w:type="dxa"/>
            </w:tcMar>
          </w:tcPr>
          <w:p w14:paraId="2A97EF4F" w14:textId="77777777" w:rsidR="00BC388A" w:rsidRDefault="00140473">
            <w:pPr>
              <w:rPr>
                <w:sz w:val="20"/>
                <w:szCs w:val="20"/>
              </w:rPr>
            </w:pPr>
            <w:r>
              <w:rPr>
                <w:sz w:val="20"/>
                <w:szCs w:val="20"/>
              </w:rPr>
              <w:t>N/A</w:t>
            </w:r>
          </w:p>
        </w:tc>
        <w:tc>
          <w:tcPr>
            <w:tcW w:w="1500" w:type="dxa"/>
            <w:shd w:val="clear" w:color="auto" w:fill="auto"/>
            <w:tcMar>
              <w:top w:w="100" w:type="dxa"/>
              <w:left w:w="100" w:type="dxa"/>
              <w:bottom w:w="100" w:type="dxa"/>
              <w:right w:w="100" w:type="dxa"/>
            </w:tcMar>
          </w:tcPr>
          <w:p w14:paraId="21C474EE" w14:textId="77777777" w:rsidR="00BC388A" w:rsidRDefault="00BC388A">
            <w:pPr>
              <w:ind w:left="720" w:hanging="360"/>
              <w:jc w:val="center"/>
              <w:rPr>
                <w:sz w:val="20"/>
                <w:szCs w:val="20"/>
              </w:rPr>
            </w:pPr>
          </w:p>
        </w:tc>
      </w:tr>
      <w:tr w:rsidR="00BC388A" w14:paraId="3CCA1D02" w14:textId="77777777">
        <w:tc>
          <w:tcPr>
            <w:tcW w:w="2700" w:type="dxa"/>
            <w:shd w:val="clear" w:color="auto" w:fill="auto"/>
            <w:tcMar>
              <w:top w:w="100" w:type="dxa"/>
              <w:left w:w="100" w:type="dxa"/>
              <w:bottom w:w="100" w:type="dxa"/>
              <w:right w:w="100" w:type="dxa"/>
            </w:tcMar>
          </w:tcPr>
          <w:p w14:paraId="44900D8C" w14:textId="77777777" w:rsidR="00BC388A" w:rsidRDefault="00140473">
            <w:pPr>
              <w:jc w:val="left"/>
              <w:rPr>
                <w:sz w:val="20"/>
                <w:szCs w:val="20"/>
              </w:rPr>
            </w:pPr>
            <w:r>
              <w:rPr>
                <w:sz w:val="20"/>
                <w:szCs w:val="20"/>
              </w:rPr>
              <w:t>Long-term data preservation</w:t>
            </w:r>
          </w:p>
        </w:tc>
        <w:tc>
          <w:tcPr>
            <w:tcW w:w="4830" w:type="dxa"/>
            <w:shd w:val="clear" w:color="auto" w:fill="auto"/>
            <w:tcMar>
              <w:top w:w="100" w:type="dxa"/>
              <w:left w:w="100" w:type="dxa"/>
              <w:bottom w:w="100" w:type="dxa"/>
              <w:right w:w="100" w:type="dxa"/>
            </w:tcMar>
          </w:tcPr>
          <w:p w14:paraId="656485C1" w14:textId="77777777" w:rsidR="00BC388A" w:rsidRDefault="00140473">
            <w:pPr>
              <w:rPr>
                <w:sz w:val="20"/>
                <w:szCs w:val="20"/>
              </w:rPr>
            </w:pPr>
            <w:r>
              <w:rPr>
                <w:sz w:val="20"/>
                <w:szCs w:val="20"/>
              </w:rPr>
              <w:t>The EGI-ACE data spaces can provide input, or take outputs for implementation</w:t>
            </w:r>
          </w:p>
        </w:tc>
        <w:tc>
          <w:tcPr>
            <w:tcW w:w="1500" w:type="dxa"/>
            <w:shd w:val="clear" w:color="auto" w:fill="auto"/>
            <w:tcMar>
              <w:top w:w="100" w:type="dxa"/>
              <w:left w:w="100" w:type="dxa"/>
              <w:bottom w:w="100" w:type="dxa"/>
              <w:right w:w="100" w:type="dxa"/>
            </w:tcMar>
          </w:tcPr>
          <w:p w14:paraId="5C6C2B68" w14:textId="77777777" w:rsidR="00BC388A" w:rsidRDefault="00140473">
            <w:pPr>
              <w:ind w:left="720" w:hanging="360"/>
              <w:jc w:val="center"/>
              <w:rPr>
                <w:sz w:val="20"/>
                <w:szCs w:val="20"/>
              </w:rPr>
            </w:pPr>
            <w:r>
              <w:rPr>
                <w:sz w:val="20"/>
                <w:szCs w:val="20"/>
              </w:rPr>
              <w:t>WP5</w:t>
            </w:r>
          </w:p>
        </w:tc>
      </w:tr>
    </w:tbl>
    <w:p w14:paraId="30C7A29B" w14:textId="77777777" w:rsidR="00BC388A" w:rsidRDefault="00BC388A"/>
    <w:p w14:paraId="75B5D5B8" w14:textId="77777777" w:rsidR="00BC388A" w:rsidRDefault="00140473">
      <w:r>
        <w:br w:type="page"/>
      </w:r>
    </w:p>
    <w:p w14:paraId="5BD4E3A3" w14:textId="77777777" w:rsidR="00BC388A" w:rsidRDefault="00140473" w:rsidP="00567C6D">
      <w:pPr>
        <w:pStyle w:val="Heading1"/>
        <w:numPr>
          <w:ilvl w:val="0"/>
          <w:numId w:val="0"/>
        </w:numPr>
        <w:ind w:left="431" w:hanging="431"/>
      </w:pPr>
      <w:bookmarkStart w:id="12" w:name="_Toc90565243"/>
      <w:r>
        <w:lastRenderedPageBreak/>
        <w:t>5. Service Management System alignment</w:t>
      </w:r>
      <w:bookmarkEnd w:id="12"/>
    </w:p>
    <w:p w14:paraId="112DBE5B" w14:textId="77777777" w:rsidR="00BC388A" w:rsidRDefault="00140473" w:rsidP="00567C6D">
      <w:pPr>
        <w:pStyle w:val="Heading2"/>
        <w:numPr>
          <w:ilvl w:val="0"/>
          <w:numId w:val="0"/>
        </w:numPr>
      </w:pPr>
      <w:bookmarkStart w:id="13" w:name="_Toc90565244"/>
      <w:r>
        <w:t>5.1. The EOSC Service Management System</w:t>
      </w:r>
      <w:bookmarkEnd w:id="13"/>
    </w:p>
    <w:p w14:paraId="22EC703E" w14:textId="77777777" w:rsidR="00BC388A" w:rsidRDefault="00140473">
      <w:pPr>
        <w:rPr>
          <w:rFonts w:ascii="Calibri" w:eastAsia="Calibri" w:hAnsi="Calibri" w:cs="Calibri"/>
        </w:rPr>
      </w:pPr>
      <w:r>
        <w:t>EOSC Future operates the EOSC IT Management System (ITSM), covering the EOSC Core, and demanding some level of ITSM readiness from providers of the EOSC-Exchange. The EOSC Future ITSM builds on the ITSM that was laid down by EOSC-hub</w:t>
      </w:r>
      <w:r>
        <w:rPr>
          <w:vertAlign w:val="superscript"/>
        </w:rPr>
        <w:footnoteReference w:id="14"/>
      </w:r>
      <w:r>
        <w:t xml:space="preserve"> to ensure a robust yet pragmatic service delivery in the EOSC federated infrastructure with different types of many-to-many relationships between users, providers and clients. </w:t>
      </w:r>
    </w:p>
    <w:tbl>
      <w:tblPr>
        <w:tblStyle w:val="ac"/>
        <w:tblW w:w="7635" w:type="dxa"/>
        <w:tblInd w:w="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635"/>
      </w:tblGrid>
      <w:tr w:rsidR="00BC388A" w14:paraId="4167779B" w14:textId="77777777">
        <w:tc>
          <w:tcPr>
            <w:tcW w:w="7635" w:type="dxa"/>
            <w:shd w:val="clear" w:color="auto" w:fill="auto"/>
            <w:tcMar>
              <w:top w:w="100" w:type="dxa"/>
              <w:left w:w="100" w:type="dxa"/>
              <w:bottom w:w="100" w:type="dxa"/>
              <w:right w:w="100" w:type="dxa"/>
            </w:tcMar>
          </w:tcPr>
          <w:p w14:paraId="639AC36D" w14:textId="77777777" w:rsidR="00BC388A" w:rsidRDefault="00140473">
            <w:pPr>
              <w:widowControl w:val="0"/>
              <w:spacing w:after="0" w:line="240" w:lineRule="auto"/>
              <w:jc w:val="left"/>
              <w:rPr>
                <w:rFonts w:ascii="Calibri" w:eastAsia="Calibri" w:hAnsi="Calibri" w:cs="Calibri"/>
                <w:b/>
              </w:rPr>
            </w:pPr>
            <w:r>
              <w:rPr>
                <w:rFonts w:ascii="Calibri" w:eastAsia="Calibri" w:hAnsi="Calibri" w:cs="Calibri"/>
                <w:b/>
              </w:rPr>
              <w:t xml:space="preserve">What is an IT Service Management System? </w:t>
            </w:r>
          </w:p>
          <w:p w14:paraId="434822AF" w14:textId="77777777" w:rsidR="00BC388A" w:rsidRDefault="00140473">
            <w:pPr>
              <w:widowControl w:val="0"/>
              <w:spacing w:after="0" w:line="240" w:lineRule="auto"/>
              <w:rPr>
                <w:rFonts w:ascii="Calibri" w:eastAsia="Calibri" w:hAnsi="Calibri" w:cs="Calibri"/>
              </w:rPr>
            </w:pPr>
            <w:r>
              <w:rPr>
                <w:rFonts w:ascii="Calibri" w:eastAsia="Calibri" w:hAnsi="Calibri" w:cs="Calibri"/>
              </w:rPr>
              <w:t>The key idea behind IT service management could be summarized like this: by following a service-oriented approach, an IT organisation (which may be everything from an internal IT department over a shared IT unit up to an external IT provider) is able to better understand what they do and offer, and how this is aligned to the needs of their customers and users. A Service Management System is the overall management system that controls and supports management of services within an organisation or federation. The SMS can be regarded as the entirety of interconnected policies, processes, procedures, roles, agreements, plans, related resources and other elements needed and used by a service provider to effectively manage the delivery of services to customers. By following the processes of the SMS the activities carried out to plan, deliver, operate and control the services become more structured and repeatable, with clearly defined responsibilities. All this helps an IT organisation to increase its level of professionalism and organisational maturity.</w:t>
            </w:r>
          </w:p>
        </w:tc>
      </w:tr>
    </w:tbl>
    <w:p w14:paraId="39643B98" w14:textId="77777777" w:rsidR="00BC388A" w:rsidRDefault="00BC388A">
      <w:pPr>
        <w:rPr>
          <w:rFonts w:ascii="Calibri" w:eastAsia="Calibri" w:hAnsi="Calibri" w:cs="Calibri"/>
        </w:rPr>
      </w:pPr>
    </w:p>
    <w:p w14:paraId="554EF83B" w14:textId="77777777" w:rsidR="00BC388A" w:rsidRDefault="00140473">
      <w:r>
        <w:t xml:space="preserve">The EOSC Future Service Management System (SMS) is structured and organised into processes and procedures according to the </w:t>
      </w:r>
      <w:proofErr w:type="spellStart"/>
      <w:r>
        <w:t>FitSM</w:t>
      </w:r>
      <w:proofErr w:type="spellEnd"/>
      <w:r>
        <w:t xml:space="preserve"> IT Management standard</w:t>
      </w:r>
      <w:r>
        <w:rPr>
          <w:vertAlign w:val="superscript"/>
        </w:rPr>
        <w:footnoteReference w:id="15"/>
      </w:r>
      <w:r>
        <w:t>, i.e. the same standard that is used by the EGI Foundation for the EGI External service</w:t>
      </w:r>
      <w:r>
        <w:rPr>
          <w:vertAlign w:val="superscript"/>
        </w:rPr>
        <w:footnoteReference w:id="16"/>
      </w:r>
      <w:r>
        <w:t xml:space="preserve"> and Internal services</w:t>
      </w:r>
      <w:r>
        <w:rPr>
          <w:vertAlign w:val="superscript"/>
        </w:rPr>
        <w:footnoteReference w:id="17"/>
      </w:r>
      <w:r>
        <w:t xml:space="preserve">. </w:t>
      </w:r>
      <w:proofErr w:type="spellStart"/>
      <w:r>
        <w:t>FitSM</w:t>
      </w:r>
      <w:proofErr w:type="spellEnd"/>
      <w:r>
        <w:t xml:space="preserve"> is a free, pragmatic, lightweight and achievable standard aimed at facilitating service management in IT service provision, including federated scenarios. By defining requirements, the 14 processes of </w:t>
      </w:r>
      <w:proofErr w:type="spellStart"/>
      <w:r>
        <w:t>FitSM</w:t>
      </w:r>
      <w:proofErr w:type="spellEnd"/>
      <w:r>
        <w:t xml:space="preserve"> help EOSC service providers as is shown in Table 3.</w:t>
      </w:r>
    </w:p>
    <w:p w14:paraId="5195CA3F" w14:textId="77777777" w:rsidR="00BC388A" w:rsidRDefault="00BC388A"/>
    <w:p w14:paraId="7A7CB26B" w14:textId="77777777" w:rsidR="00BC388A" w:rsidRDefault="00140473">
      <w:pPr>
        <w:jc w:val="left"/>
        <w:rPr>
          <w:sz w:val="20"/>
          <w:szCs w:val="20"/>
        </w:rPr>
      </w:pPr>
      <w:r>
        <w:rPr>
          <w:sz w:val="20"/>
          <w:szCs w:val="20"/>
        </w:rPr>
        <w:t xml:space="preserve">Table 3: The 14 processes of </w:t>
      </w:r>
      <w:proofErr w:type="spellStart"/>
      <w:r>
        <w:rPr>
          <w:sz w:val="20"/>
          <w:szCs w:val="20"/>
        </w:rPr>
        <w:t>FitSM</w:t>
      </w:r>
      <w:proofErr w:type="spellEnd"/>
      <w:r>
        <w:rPr>
          <w:sz w:val="20"/>
          <w:szCs w:val="20"/>
        </w:rPr>
        <w:t>, and their benefits for EOSC providers.</w:t>
      </w:r>
    </w:p>
    <w:tbl>
      <w:tblPr>
        <w:tblStyle w:val="ad"/>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0"/>
        <w:gridCol w:w="5610"/>
      </w:tblGrid>
      <w:tr w:rsidR="00BC388A" w14:paraId="31897A63" w14:textId="77777777">
        <w:tc>
          <w:tcPr>
            <w:tcW w:w="3390" w:type="dxa"/>
            <w:shd w:val="clear" w:color="auto" w:fill="C9DAF8"/>
            <w:tcMar>
              <w:top w:w="100" w:type="dxa"/>
              <w:left w:w="100" w:type="dxa"/>
              <w:bottom w:w="100" w:type="dxa"/>
              <w:right w:w="100" w:type="dxa"/>
            </w:tcMar>
          </w:tcPr>
          <w:p w14:paraId="1CD5A36A"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Process</w:t>
            </w:r>
          </w:p>
        </w:tc>
        <w:tc>
          <w:tcPr>
            <w:tcW w:w="5610" w:type="dxa"/>
            <w:shd w:val="clear" w:color="auto" w:fill="C9DAF8"/>
            <w:tcMar>
              <w:top w:w="100" w:type="dxa"/>
              <w:left w:w="100" w:type="dxa"/>
              <w:bottom w:w="100" w:type="dxa"/>
              <w:right w:w="100" w:type="dxa"/>
            </w:tcMar>
          </w:tcPr>
          <w:p w14:paraId="4AEAECC1"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Objective</w:t>
            </w:r>
          </w:p>
        </w:tc>
      </w:tr>
      <w:tr w:rsidR="00BC388A" w14:paraId="7A63C0E3" w14:textId="77777777">
        <w:tc>
          <w:tcPr>
            <w:tcW w:w="3390" w:type="dxa"/>
            <w:shd w:val="clear" w:color="auto" w:fill="auto"/>
            <w:tcMar>
              <w:top w:w="100" w:type="dxa"/>
              <w:left w:w="100" w:type="dxa"/>
              <w:bottom w:w="100" w:type="dxa"/>
              <w:right w:w="100" w:type="dxa"/>
            </w:tcMar>
          </w:tcPr>
          <w:p w14:paraId="0228EC61"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 xml:space="preserve">Service portfolio management (SPM) </w:t>
            </w:r>
          </w:p>
        </w:tc>
        <w:tc>
          <w:tcPr>
            <w:tcW w:w="5610" w:type="dxa"/>
            <w:shd w:val="clear" w:color="auto" w:fill="auto"/>
            <w:tcMar>
              <w:top w:w="100" w:type="dxa"/>
              <w:left w:w="100" w:type="dxa"/>
              <w:bottom w:w="100" w:type="dxa"/>
              <w:right w:w="100" w:type="dxa"/>
            </w:tcMar>
          </w:tcPr>
          <w:p w14:paraId="7700F27E"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To define and maintain a service portfolio</w:t>
            </w:r>
          </w:p>
        </w:tc>
      </w:tr>
      <w:tr w:rsidR="00BC388A" w14:paraId="5EDF05C7" w14:textId="77777777">
        <w:tc>
          <w:tcPr>
            <w:tcW w:w="3390" w:type="dxa"/>
            <w:shd w:val="clear" w:color="auto" w:fill="auto"/>
            <w:tcMar>
              <w:top w:w="100" w:type="dxa"/>
              <w:left w:w="100" w:type="dxa"/>
              <w:bottom w:w="100" w:type="dxa"/>
              <w:right w:w="100" w:type="dxa"/>
            </w:tcMar>
          </w:tcPr>
          <w:p w14:paraId="5FEBB1A2"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Service level management (SLM)</w:t>
            </w:r>
          </w:p>
        </w:tc>
        <w:tc>
          <w:tcPr>
            <w:tcW w:w="5610" w:type="dxa"/>
            <w:shd w:val="clear" w:color="auto" w:fill="auto"/>
            <w:tcMar>
              <w:top w:w="100" w:type="dxa"/>
              <w:left w:w="100" w:type="dxa"/>
              <w:bottom w:w="100" w:type="dxa"/>
              <w:right w:w="100" w:type="dxa"/>
            </w:tcMar>
          </w:tcPr>
          <w:p w14:paraId="700A86B7"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 xml:space="preserve">To maintain a service catalogue, and to define, agree and </w:t>
            </w:r>
            <w:r>
              <w:rPr>
                <w:rFonts w:ascii="Calibri" w:eastAsia="Calibri" w:hAnsi="Calibri" w:cs="Calibri"/>
                <w:sz w:val="20"/>
                <w:szCs w:val="20"/>
              </w:rPr>
              <w:lastRenderedPageBreak/>
              <w:t>monitor service levels with customers by establishing meaningful service level agreements (SLAs) and supportive operational level agreements (OLAs) and underpinning agreements (UAs) with suppliers</w:t>
            </w:r>
          </w:p>
        </w:tc>
      </w:tr>
      <w:tr w:rsidR="00BC388A" w14:paraId="17731073" w14:textId="77777777">
        <w:tc>
          <w:tcPr>
            <w:tcW w:w="3390" w:type="dxa"/>
            <w:shd w:val="clear" w:color="auto" w:fill="auto"/>
            <w:tcMar>
              <w:top w:w="100" w:type="dxa"/>
              <w:left w:w="100" w:type="dxa"/>
              <w:bottom w:w="100" w:type="dxa"/>
              <w:right w:w="100" w:type="dxa"/>
            </w:tcMar>
          </w:tcPr>
          <w:p w14:paraId="2CED8154"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lastRenderedPageBreak/>
              <w:t>Service reporting management (SRM)</w:t>
            </w:r>
          </w:p>
        </w:tc>
        <w:tc>
          <w:tcPr>
            <w:tcW w:w="5610" w:type="dxa"/>
            <w:shd w:val="clear" w:color="auto" w:fill="auto"/>
            <w:tcMar>
              <w:top w:w="100" w:type="dxa"/>
              <w:left w:w="100" w:type="dxa"/>
              <w:bottom w:w="100" w:type="dxa"/>
              <w:right w:w="100" w:type="dxa"/>
            </w:tcMar>
          </w:tcPr>
          <w:p w14:paraId="2E874BC8"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To specify all service reports and ensure they are produced according to specifications in a timely manner to support decision-making</w:t>
            </w:r>
          </w:p>
        </w:tc>
      </w:tr>
      <w:tr w:rsidR="00BC388A" w14:paraId="0BE3E938" w14:textId="77777777">
        <w:tc>
          <w:tcPr>
            <w:tcW w:w="3390" w:type="dxa"/>
            <w:shd w:val="clear" w:color="auto" w:fill="auto"/>
            <w:tcMar>
              <w:top w:w="100" w:type="dxa"/>
              <w:left w:w="100" w:type="dxa"/>
              <w:bottom w:w="100" w:type="dxa"/>
              <w:right w:w="100" w:type="dxa"/>
            </w:tcMar>
          </w:tcPr>
          <w:p w14:paraId="344AC89F"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Service availability and continuity</w:t>
            </w:r>
          </w:p>
          <w:p w14:paraId="33FF421F"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management (SACM)</w:t>
            </w:r>
          </w:p>
        </w:tc>
        <w:tc>
          <w:tcPr>
            <w:tcW w:w="5610" w:type="dxa"/>
            <w:shd w:val="clear" w:color="auto" w:fill="auto"/>
            <w:tcMar>
              <w:top w:w="100" w:type="dxa"/>
              <w:left w:w="100" w:type="dxa"/>
              <w:bottom w:w="100" w:type="dxa"/>
              <w:right w:w="100" w:type="dxa"/>
            </w:tcMar>
          </w:tcPr>
          <w:p w14:paraId="6298683D"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To ensure sufficient service availability to meet agreed requirements and adequate service continuity</w:t>
            </w:r>
          </w:p>
        </w:tc>
      </w:tr>
      <w:tr w:rsidR="00BC388A" w14:paraId="446B58E7" w14:textId="77777777">
        <w:tc>
          <w:tcPr>
            <w:tcW w:w="3390" w:type="dxa"/>
            <w:shd w:val="clear" w:color="auto" w:fill="auto"/>
            <w:tcMar>
              <w:top w:w="100" w:type="dxa"/>
              <w:left w:w="100" w:type="dxa"/>
              <w:bottom w:w="100" w:type="dxa"/>
              <w:right w:w="100" w:type="dxa"/>
            </w:tcMar>
          </w:tcPr>
          <w:p w14:paraId="4176C2E4"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Capacity management (CAPM)</w:t>
            </w:r>
          </w:p>
        </w:tc>
        <w:tc>
          <w:tcPr>
            <w:tcW w:w="5610" w:type="dxa"/>
            <w:shd w:val="clear" w:color="auto" w:fill="auto"/>
            <w:tcMar>
              <w:top w:w="100" w:type="dxa"/>
              <w:left w:w="100" w:type="dxa"/>
              <w:bottom w:w="100" w:type="dxa"/>
              <w:right w:w="100" w:type="dxa"/>
            </w:tcMar>
          </w:tcPr>
          <w:p w14:paraId="041F6B7D"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To ensure sufficient capacities are provided to meet agreed service capacity and performance requirements</w:t>
            </w:r>
          </w:p>
        </w:tc>
      </w:tr>
      <w:tr w:rsidR="00BC388A" w14:paraId="6C80E543" w14:textId="77777777">
        <w:tc>
          <w:tcPr>
            <w:tcW w:w="3390" w:type="dxa"/>
            <w:shd w:val="clear" w:color="auto" w:fill="auto"/>
            <w:tcMar>
              <w:top w:w="100" w:type="dxa"/>
              <w:left w:w="100" w:type="dxa"/>
              <w:bottom w:w="100" w:type="dxa"/>
              <w:right w:w="100" w:type="dxa"/>
            </w:tcMar>
          </w:tcPr>
          <w:p w14:paraId="653E5C20"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Information security management</w:t>
            </w:r>
          </w:p>
          <w:p w14:paraId="24611909"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(ISM)</w:t>
            </w:r>
          </w:p>
        </w:tc>
        <w:tc>
          <w:tcPr>
            <w:tcW w:w="5610" w:type="dxa"/>
            <w:shd w:val="clear" w:color="auto" w:fill="auto"/>
            <w:tcMar>
              <w:top w:w="100" w:type="dxa"/>
              <w:left w:w="100" w:type="dxa"/>
              <w:bottom w:w="100" w:type="dxa"/>
              <w:right w:w="100" w:type="dxa"/>
            </w:tcMar>
          </w:tcPr>
          <w:p w14:paraId="3C0A26D7"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To manage information security effectively through all activities performed to deliver and manage services, so that the confidentiality, integrity and accessibility of relevant information are preserved</w:t>
            </w:r>
          </w:p>
        </w:tc>
      </w:tr>
      <w:tr w:rsidR="00BC388A" w14:paraId="7BC7A65B" w14:textId="77777777">
        <w:tc>
          <w:tcPr>
            <w:tcW w:w="3390" w:type="dxa"/>
            <w:shd w:val="clear" w:color="auto" w:fill="auto"/>
            <w:tcMar>
              <w:top w:w="100" w:type="dxa"/>
              <w:left w:w="100" w:type="dxa"/>
              <w:bottom w:w="100" w:type="dxa"/>
              <w:right w:w="100" w:type="dxa"/>
            </w:tcMar>
          </w:tcPr>
          <w:p w14:paraId="27E82F68"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Customer relationship management</w:t>
            </w:r>
          </w:p>
          <w:p w14:paraId="116F6A32"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(CRM)</w:t>
            </w:r>
          </w:p>
        </w:tc>
        <w:tc>
          <w:tcPr>
            <w:tcW w:w="5610" w:type="dxa"/>
            <w:shd w:val="clear" w:color="auto" w:fill="auto"/>
            <w:tcMar>
              <w:top w:w="100" w:type="dxa"/>
              <w:left w:w="100" w:type="dxa"/>
              <w:bottom w:w="100" w:type="dxa"/>
              <w:right w:w="100" w:type="dxa"/>
            </w:tcMar>
          </w:tcPr>
          <w:p w14:paraId="7A49C997"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To establish and maintain a good relationship with customers receiving services</w:t>
            </w:r>
          </w:p>
        </w:tc>
      </w:tr>
      <w:tr w:rsidR="00BC388A" w14:paraId="3F990184" w14:textId="77777777">
        <w:tc>
          <w:tcPr>
            <w:tcW w:w="3390" w:type="dxa"/>
            <w:shd w:val="clear" w:color="auto" w:fill="auto"/>
            <w:tcMar>
              <w:top w:w="100" w:type="dxa"/>
              <w:left w:w="100" w:type="dxa"/>
              <w:bottom w:w="100" w:type="dxa"/>
              <w:right w:w="100" w:type="dxa"/>
            </w:tcMar>
          </w:tcPr>
          <w:p w14:paraId="3545DEAE"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Supplier relationship management</w:t>
            </w:r>
          </w:p>
          <w:p w14:paraId="547C8929"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(SUPPM)</w:t>
            </w:r>
          </w:p>
        </w:tc>
        <w:tc>
          <w:tcPr>
            <w:tcW w:w="5610" w:type="dxa"/>
            <w:shd w:val="clear" w:color="auto" w:fill="auto"/>
            <w:tcMar>
              <w:top w:w="100" w:type="dxa"/>
              <w:left w:w="100" w:type="dxa"/>
              <w:bottom w:w="100" w:type="dxa"/>
              <w:right w:w="100" w:type="dxa"/>
            </w:tcMar>
          </w:tcPr>
          <w:p w14:paraId="48A6BC77"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To establish and maintain a healthy relationship with suppliers supporting the service provider in delivering services to customers, and monitor their performance</w:t>
            </w:r>
          </w:p>
        </w:tc>
      </w:tr>
      <w:tr w:rsidR="00BC388A" w14:paraId="6E88C012" w14:textId="77777777">
        <w:tc>
          <w:tcPr>
            <w:tcW w:w="3390" w:type="dxa"/>
            <w:shd w:val="clear" w:color="auto" w:fill="auto"/>
            <w:tcMar>
              <w:top w:w="100" w:type="dxa"/>
              <w:left w:w="100" w:type="dxa"/>
              <w:bottom w:w="100" w:type="dxa"/>
              <w:right w:w="100" w:type="dxa"/>
            </w:tcMar>
          </w:tcPr>
          <w:p w14:paraId="6BDBE816"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Incident and service request</w:t>
            </w:r>
          </w:p>
          <w:p w14:paraId="6E638A9A"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management (ISRM)</w:t>
            </w:r>
          </w:p>
        </w:tc>
        <w:tc>
          <w:tcPr>
            <w:tcW w:w="5610" w:type="dxa"/>
            <w:shd w:val="clear" w:color="auto" w:fill="auto"/>
            <w:tcMar>
              <w:top w:w="100" w:type="dxa"/>
              <w:left w:w="100" w:type="dxa"/>
              <w:bottom w:w="100" w:type="dxa"/>
              <w:right w:w="100" w:type="dxa"/>
            </w:tcMar>
          </w:tcPr>
          <w:p w14:paraId="7BC92476"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To restore normal / agreed service operation within the agreed time after the occurrence of an incident, and to respond to user service requests</w:t>
            </w:r>
          </w:p>
        </w:tc>
      </w:tr>
      <w:tr w:rsidR="00BC388A" w14:paraId="6171DC9A" w14:textId="77777777">
        <w:tc>
          <w:tcPr>
            <w:tcW w:w="3390" w:type="dxa"/>
            <w:shd w:val="clear" w:color="auto" w:fill="auto"/>
            <w:tcMar>
              <w:top w:w="100" w:type="dxa"/>
              <w:left w:w="100" w:type="dxa"/>
              <w:bottom w:w="100" w:type="dxa"/>
              <w:right w:w="100" w:type="dxa"/>
            </w:tcMar>
          </w:tcPr>
          <w:p w14:paraId="0F3D6076"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Problem management (PM)</w:t>
            </w:r>
          </w:p>
        </w:tc>
        <w:tc>
          <w:tcPr>
            <w:tcW w:w="5610" w:type="dxa"/>
            <w:shd w:val="clear" w:color="auto" w:fill="auto"/>
            <w:tcMar>
              <w:top w:w="100" w:type="dxa"/>
              <w:left w:w="100" w:type="dxa"/>
              <w:bottom w:w="100" w:type="dxa"/>
              <w:right w:w="100" w:type="dxa"/>
            </w:tcMar>
          </w:tcPr>
          <w:p w14:paraId="40AA5453"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To investigate the root causes of (recurring) incidents in order to avoid future recurrence of incidents by resolving the underlying cause, or to ensure workarounds/temporary fixes are available</w:t>
            </w:r>
          </w:p>
        </w:tc>
      </w:tr>
      <w:tr w:rsidR="00BC388A" w14:paraId="59CFC919" w14:textId="77777777">
        <w:tc>
          <w:tcPr>
            <w:tcW w:w="3390" w:type="dxa"/>
            <w:shd w:val="clear" w:color="auto" w:fill="auto"/>
            <w:tcMar>
              <w:top w:w="100" w:type="dxa"/>
              <w:left w:w="100" w:type="dxa"/>
              <w:bottom w:w="100" w:type="dxa"/>
              <w:right w:w="100" w:type="dxa"/>
            </w:tcMar>
          </w:tcPr>
          <w:p w14:paraId="6828E1B9"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 xml:space="preserve">Configuration management (CONFM) </w:t>
            </w:r>
          </w:p>
        </w:tc>
        <w:tc>
          <w:tcPr>
            <w:tcW w:w="5610" w:type="dxa"/>
            <w:shd w:val="clear" w:color="auto" w:fill="auto"/>
            <w:tcMar>
              <w:top w:w="100" w:type="dxa"/>
              <w:left w:w="100" w:type="dxa"/>
              <w:bottom w:w="100" w:type="dxa"/>
              <w:right w:w="100" w:type="dxa"/>
            </w:tcMar>
          </w:tcPr>
          <w:p w14:paraId="036877FD"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To provide and maintain a logical model of all configuration items (CIs) and their relationships and dependencies</w:t>
            </w:r>
          </w:p>
        </w:tc>
      </w:tr>
      <w:tr w:rsidR="00BC388A" w14:paraId="5512E42B" w14:textId="77777777">
        <w:tc>
          <w:tcPr>
            <w:tcW w:w="3390" w:type="dxa"/>
            <w:shd w:val="clear" w:color="auto" w:fill="auto"/>
            <w:tcMar>
              <w:top w:w="100" w:type="dxa"/>
              <w:left w:w="100" w:type="dxa"/>
              <w:bottom w:w="100" w:type="dxa"/>
              <w:right w:w="100" w:type="dxa"/>
            </w:tcMar>
          </w:tcPr>
          <w:p w14:paraId="1362BA06"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Change management (CHM)</w:t>
            </w:r>
          </w:p>
        </w:tc>
        <w:tc>
          <w:tcPr>
            <w:tcW w:w="5610" w:type="dxa"/>
            <w:shd w:val="clear" w:color="auto" w:fill="auto"/>
            <w:tcMar>
              <w:top w:w="100" w:type="dxa"/>
              <w:left w:w="100" w:type="dxa"/>
              <w:bottom w:w="100" w:type="dxa"/>
              <w:right w:w="100" w:type="dxa"/>
            </w:tcMar>
          </w:tcPr>
          <w:p w14:paraId="4D8727E9"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To ensure changes to CIs are planned, approved, implemented and reviewed in a controlled manner to avoid adverse impact of changes to services or the customers receiving services</w:t>
            </w:r>
          </w:p>
        </w:tc>
      </w:tr>
      <w:tr w:rsidR="00BC388A" w14:paraId="17C5AE37" w14:textId="77777777">
        <w:tc>
          <w:tcPr>
            <w:tcW w:w="3390" w:type="dxa"/>
            <w:shd w:val="clear" w:color="auto" w:fill="auto"/>
            <w:tcMar>
              <w:top w:w="100" w:type="dxa"/>
              <w:left w:w="100" w:type="dxa"/>
              <w:bottom w:w="100" w:type="dxa"/>
              <w:right w:w="100" w:type="dxa"/>
            </w:tcMar>
          </w:tcPr>
          <w:p w14:paraId="50C82D3F"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Release and deployment management</w:t>
            </w:r>
          </w:p>
          <w:p w14:paraId="2A7CABBF"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(RDM)</w:t>
            </w:r>
          </w:p>
        </w:tc>
        <w:tc>
          <w:tcPr>
            <w:tcW w:w="5610" w:type="dxa"/>
            <w:shd w:val="clear" w:color="auto" w:fill="auto"/>
            <w:tcMar>
              <w:top w:w="100" w:type="dxa"/>
              <w:left w:w="100" w:type="dxa"/>
              <w:bottom w:w="100" w:type="dxa"/>
              <w:right w:w="100" w:type="dxa"/>
            </w:tcMar>
          </w:tcPr>
          <w:p w14:paraId="0BD57A68"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To bundle changes of one or more CIs to releases, so that these changes can be tested and deployed to the live environment together</w:t>
            </w:r>
          </w:p>
        </w:tc>
      </w:tr>
      <w:tr w:rsidR="00BC388A" w14:paraId="50547603" w14:textId="77777777">
        <w:tc>
          <w:tcPr>
            <w:tcW w:w="3390" w:type="dxa"/>
            <w:shd w:val="clear" w:color="auto" w:fill="auto"/>
            <w:tcMar>
              <w:top w:w="100" w:type="dxa"/>
              <w:left w:w="100" w:type="dxa"/>
              <w:bottom w:w="100" w:type="dxa"/>
              <w:right w:w="100" w:type="dxa"/>
            </w:tcMar>
          </w:tcPr>
          <w:p w14:paraId="15B943EF"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Continual service improvement</w:t>
            </w:r>
          </w:p>
          <w:p w14:paraId="7F6FD407"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management (CSI)</w:t>
            </w:r>
          </w:p>
        </w:tc>
        <w:tc>
          <w:tcPr>
            <w:tcW w:w="5610" w:type="dxa"/>
            <w:shd w:val="clear" w:color="auto" w:fill="auto"/>
            <w:tcMar>
              <w:top w:w="100" w:type="dxa"/>
              <w:left w:w="100" w:type="dxa"/>
              <w:bottom w:w="100" w:type="dxa"/>
              <w:right w:w="100" w:type="dxa"/>
            </w:tcMar>
          </w:tcPr>
          <w:p w14:paraId="00261731"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To identify, prioritize, plan, implement and review improvements to services and service management</w:t>
            </w:r>
          </w:p>
        </w:tc>
      </w:tr>
    </w:tbl>
    <w:p w14:paraId="5340284F" w14:textId="77777777" w:rsidR="00BC388A" w:rsidRDefault="00BC388A">
      <w:pPr>
        <w:rPr>
          <w:rFonts w:ascii="Calibri" w:eastAsia="Calibri" w:hAnsi="Calibri" w:cs="Calibri"/>
        </w:rPr>
      </w:pPr>
    </w:p>
    <w:p w14:paraId="5F57310B" w14:textId="77777777" w:rsidR="00BC388A" w:rsidRDefault="00140473">
      <w:r>
        <w:t xml:space="preserve">For each of these processes, as well as for a number of general aspects in the context of ITSM, </w:t>
      </w:r>
      <w:proofErr w:type="spellStart"/>
      <w:r>
        <w:t>FitSM</w:t>
      </w:r>
      <w:proofErr w:type="spellEnd"/>
      <w:r>
        <w:t xml:space="preserve"> (within the FitSM-1 document</w:t>
      </w:r>
      <w:r>
        <w:rPr>
          <w:vertAlign w:val="superscript"/>
        </w:rPr>
        <w:footnoteReference w:id="18"/>
      </w:r>
      <w:r>
        <w:t xml:space="preserve">) defines a small number of implementation </w:t>
      </w:r>
      <w:r>
        <w:lastRenderedPageBreak/>
        <w:t>requirements, while the FitSM-2 document</w:t>
      </w:r>
      <w:r>
        <w:rPr>
          <w:vertAlign w:val="superscript"/>
        </w:rPr>
        <w:footnoteReference w:id="19"/>
      </w:r>
      <w:r>
        <w:t xml:space="preserve"> provides guidelines on the activities to set up and implement ITSM using these processes. The FitSM-3 document</w:t>
      </w:r>
      <w:r>
        <w:rPr>
          <w:vertAlign w:val="superscript"/>
        </w:rPr>
        <w:footnoteReference w:id="20"/>
      </w:r>
      <w:r>
        <w:t xml:space="preserve"> describes the proposed roles to be assigned to execute the ITSM processes as part of a service management system.</w:t>
      </w:r>
    </w:p>
    <w:p w14:paraId="2F0164BD" w14:textId="77777777" w:rsidR="00BC388A" w:rsidRDefault="00140473">
      <w:r>
        <w:t xml:space="preserve">At a base level, all onboarded services become in the scope of EOSC SPM when they are included into the EOSC Exchange Service Portfolio, and then publicly exposed in a Service Catalogue (the EOSC Portal and its Marketplace). How the scope of other EOSC SMS processes impacts on new onboarded services depends on the choices the service providers make for integrating with other EOSC Core services. For example, enabling ‘ordering’ (i.e. users have to request access to the service via the EOSC Marketplace) will bring the Exchange service partially into the scope of CRM, using the Helpdesk involves the Exchange service in the ISRM process, and so on. Additional integration activities may bring the services within the scope of other SMS processes. </w:t>
      </w:r>
    </w:p>
    <w:p w14:paraId="63827628" w14:textId="77777777" w:rsidR="00BC388A" w:rsidRDefault="00140473" w:rsidP="00567C6D">
      <w:pPr>
        <w:pStyle w:val="Heading2"/>
        <w:numPr>
          <w:ilvl w:val="0"/>
          <w:numId w:val="0"/>
        </w:numPr>
      </w:pPr>
      <w:bookmarkStart w:id="14" w:name="_Toc90565245"/>
      <w:r>
        <w:t>5.2 EGI-ACE services in the EOSC and EGI SMSs</w:t>
      </w:r>
      <w:bookmarkEnd w:id="14"/>
    </w:p>
    <w:p w14:paraId="1EFBD205" w14:textId="77777777" w:rsidR="00BC388A" w:rsidRDefault="00140473">
      <w:r>
        <w:t xml:space="preserve">The minimum requirements of the EOSC SMS are met by any provider who successfully onboard services to the EOSC Portal. The EGI-ACE services that are onboarded to EOSC therefore already meet the EOSC Criteria. This section provides an overview of the SMS maturity of the EGI-ACE services independently from the EOSC requirements. As the section shows, most of the EGI-ACE services operate with a very mature SMS, and the project puts emphasis on lifting the SMS maturity of its whole portfolio. </w:t>
      </w:r>
    </w:p>
    <w:p w14:paraId="3DB4DC76" w14:textId="77777777" w:rsidR="00BC388A" w:rsidRDefault="00140473">
      <w:r>
        <w:t>The EGI Foundation has established a Management System for its IT-Services. This Service Management System (SMS) holds an ISO/IEC 20000 certification-1:2018. This is an international standard that outlines the requirements for design, transition, delivery and improvement of IT services that fulfil service requirements and provide value for both the customer and the service provider. The ISO/IEC 20000-1:2018 standard allows to demonstrate excellence and prove best practice in IT service management.</w:t>
      </w:r>
    </w:p>
    <w:p w14:paraId="5E7A821E" w14:textId="77777777" w:rsidR="00BC388A" w:rsidRDefault="00140473">
      <w:r>
        <w:t xml:space="preserve">The EGI-ACE services relate to the EGI SMS in one of these three ways: </w:t>
      </w:r>
    </w:p>
    <w:p w14:paraId="1CDE9E47" w14:textId="77777777" w:rsidR="00BC388A" w:rsidRDefault="00140473">
      <w:pPr>
        <w:numPr>
          <w:ilvl w:val="0"/>
          <w:numId w:val="2"/>
        </w:numPr>
        <w:spacing w:after="0"/>
      </w:pPr>
      <w:r>
        <w:t xml:space="preserve">Some of the EGI-ACE EOSC Compute Platform services are already governed by the EGI Council (i.e. they are in the EGI External or Internal portfolios) therefore are covered by the EGI SMS. (See these services listed with </w:t>
      </w:r>
      <w:r>
        <w:rPr>
          <w:shd w:val="clear" w:color="auto" w:fill="D9EAD3"/>
        </w:rPr>
        <w:t>green</w:t>
      </w:r>
      <w:r>
        <w:t xml:space="preserve"> background in column 3 under the ‘EOSC Compute Platform...’ sections of Table 1.) </w:t>
      </w:r>
    </w:p>
    <w:p w14:paraId="236ADA6B" w14:textId="77777777" w:rsidR="00BC388A" w:rsidRDefault="00140473">
      <w:pPr>
        <w:numPr>
          <w:ilvl w:val="0"/>
          <w:numId w:val="2"/>
        </w:numPr>
        <w:spacing w:after="0"/>
      </w:pPr>
      <w:r>
        <w:t xml:space="preserve">Some of the EGI-ACE EOSC Compute Platform services are not (yet) included in the EGI Service portfolios, therefore their SMS is not covered by the EGI Foundation SMS. (See these services listed with </w:t>
      </w:r>
      <w:r>
        <w:rPr>
          <w:shd w:val="clear" w:color="auto" w:fill="F4CCCC"/>
        </w:rPr>
        <w:t>red</w:t>
      </w:r>
      <w:r>
        <w:t xml:space="preserve"> or </w:t>
      </w:r>
      <w:r>
        <w:rPr>
          <w:shd w:val="clear" w:color="auto" w:fill="FFF2CC"/>
        </w:rPr>
        <w:t>yellow</w:t>
      </w:r>
      <w:r>
        <w:t xml:space="preserve"> background in column 3 under the ‘EOSC Compute Platform...’ sections of Table 1.)</w:t>
      </w:r>
    </w:p>
    <w:p w14:paraId="5549FF6E" w14:textId="77777777" w:rsidR="00BC388A" w:rsidRDefault="00140473">
      <w:pPr>
        <w:numPr>
          <w:ilvl w:val="0"/>
          <w:numId w:val="2"/>
        </w:numPr>
      </w:pPr>
      <w:r>
        <w:t>EGI-ACE thematic services (Data space services) are not covered by the EGI SMS at all. (See these services listed under the ‘Thematic services...’ section of Table 1., with red background in column 3.)</w:t>
      </w:r>
    </w:p>
    <w:p w14:paraId="12D90085" w14:textId="77777777" w:rsidR="00BC388A" w:rsidRDefault="00140473">
      <w:r>
        <w:lastRenderedPageBreak/>
        <w:t xml:space="preserve">The project intends to raise the maturity of the services in group 2 by bringing them under the EGI SMS. The existing level of service management of these services is an important consideration for this work. The project therefore performed a preparatory activity, the maturity assessment of these services. From the operational perspective the important aspects of an SMS are to ensure that the services are monitored (to ensure high availability), they have a helpdesk (to ensure users and the monitoring can open trouble tickets), they </w:t>
      </w:r>
      <w:proofErr w:type="spellStart"/>
      <w:r>
        <w:t>areregistered</w:t>
      </w:r>
      <w:proofErr w:type="spellEnd"/>
      <w:r>
        <w:t xml:space="preserve"> in the Configuration DB (so changes can be tracked, and status information can be obtained for monitoring), and that Capacity plans and Availability and Continuity plans are available for them. The findings of this assessment are summarised in Table 4 below.</w:t>
      </w:r>
    </w:p>
    <w:p w14:paraId="29F5B4D3" w14:textId="77777777" w:rsidR="00BC388A" w:rsidRDefault="00140473">
      <w:pPr>
        <w:jc w:val="left"/>
        <w:rPr>
          <w:sz w:val="18"/>
          <w:szCs w:val="18"/>
        </w:rPr>
      </w:pPr>
      <w:r>
        <w:rPr>
          <w:sz w:val="20"/>
          <w:szCs w:val="20"/>
        </w:rPr>
        <w:t>Table 4: Maturity assessment of the EGI-ACE Compute Platform services that are outside of the EGI Foundation SMS.</w:t>
      </w:r>
      <w:r>
        <w:t xml:space="preserve"> </w:t>
      </w:r>
    </w:p>
    <w:tbl>
      <w:tblPr>
        <w:tblStyle w:val="ae"/>
        <w:tblW w:w="901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40"/>
        <w:gridCol w:w="1530"/>
        <w:gridCol w:w="1560"/>
        <w:gridCol w:w="1560"/>
        <w:gridCol w:w="1560"/>
        <w:gridCol w:w="1560"/>
      </w:tblGrid>
      <w:tr w:rsidR="00BC388A" w14:paraId="7A11AA99" w14:textId="77777777">
        <w:tc>
          <w:tcPr>
            <w:tcW w:w="1239" w:type="dxa"/>
            <w:shd w:val="clear" w:color="auto" w:fill="A4C2F4"/>
            <w:tcMar>
              <w:top w:w="100" w:type="dxa"/>
              <w:left w:w="100" w:type="dxa"/>
              <w:bottom w:w="100" w:type="dxa"/>
              <w:right w:w="100" w:type="dxa"/>
            </w:tcMar>
          </w:tcPr>
          <w:p w14:paraId="5226D992"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EGI-ACE service</w:t>
            </w:r>
          </w:p>
        </w:tc>
        <w:tc>
          <w:tcPr>
            <w:tcW w:w="1530" w:type="dxa"/>
            <w:shd w:val="clear" w:color="auto" w:fill="A4C2F4"/>
            <w:tcMar>
              <w:top w:w="100" w:type="dxa"/>
              <w:left w:w="100" w:type="dxa"/>
              <w:bottom w:w="100" w:type="dxa"/>
              <w:right w:w="100" w:type="dxa"/>
            </w:tcMar>
          </w:tcPr>
          <w:p w14:paraId="3775847D"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Monitored?</w:t>
            </w:r>
          </w:p>
        </w:tc>
        <w:tc>
          <w:tcPr>
            <w:tcW w:w="1560" w:type="dxa"/>
            <w:shd w:val="clear" w:color="auto" w:fill="A4C2F4"/>
            <w:tcMar>
              <w:top w:w="100" w:type="dxa"/>
              <w:left w:w="100" w:type="dxa"/>
              <w:bottom w:w="100" w:type="dxa"/>
              <w:right w:w="100" w:type="dxa"/>
            </w:tcMar>
          </w:tcPr>
          <w:p w14:paraId="32689012"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 xml:space="preserve">Has a Helpdesk support unit? </w:t>
            </w:r>
          </w:p>
        </w:tc>
        <w:tc>
          <w:tcPr>
            <w:tcW w:w="1560" w:type="dxa"/>
            <w:shd w:val="clear" w:color="auto" w:fill="A4C2F4"/>
            <w:tcMar>
              <w:top w:w="100" w:type="dxa"/>
              <w:left w:w="100" w:type="dxa"/>
              <w:bottom w:w="100" w:type="dxa"/>
              <w:right w:w="100" w:type="dxa"/>
            </w:tcMar>
          </w:tcPr>
          <w:p w14:paraId="706BC227"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Has an entry in the GOCDB configuration DB?</w:t>
            </w:r>
          </w:p>
        </w:tc>
        <w:tc>
          <w:tcPr>
            <w:tcW w:w="1560" w:type="dxa"/>
            <w:shd w:val="clear" w:color="auto" w:fill="A4C2F4"/>
            <w:tcMar>
              <w:top w:w="100" w:type="dxa"/>
              <w:left w:w="100" w:type="dxa"/>
              <w:bottom w:w="100" w:type="dxa"/>
              <w:right w:w="100" w:type="dxa"/>
            </w:tcMar>
          </w:tcPr>
          <w:p w14:paraId="7104342C"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Has a capacity plan?</w:t>
            </w:r>
          </w:p>
        </w:tc>
        <w:tc>
          <w:tcPr>
            <w:tcW w:w="1560" w:type="dxa"/>
            <w:shd w:val="clear" w:color="auto" w:fill="A4C2F4"/>
            <w:tcMar>
              <w:top w:w="100" w:type="dxa"/>
              <w:left w:w="100" w:type="dxa"/>
              <w:bottom w:w="100" w:type="dxa"/>
              <w:right w:w="100" w:type="dxa"/>
            </w:tcMar>
          </w:tcPr>
          <w:p w14:paraId="49526C4D"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Has an availability and continuity plan?</w:t>
            </w:r>
          </w:p>
        </w:tc>
      </w:tr>
      <w:tr w:rsidR="00BC388A" w14:paraId="04732798" w14:textId="77777777">
        <w:trPr>
          <w:trHeight w:val="380"/>
        </w:trPr>
        <w:tc>
          <w:tcPr>
            <w:tcW w:w="9009" w:type="dxa"/>
            <w:gridSpan w:val="6"/>
            <w:shd w:val="clear" w:color="auto" w:fill="CFE2F3"/>
          </w:tcPr>
          <w:p w14:paraId="12CAAD9D"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EOSC Compute Platform: Compute and data federation services</w:t>
            </w:r>
          </w:p>
        </w:tc>
      </w:tr>
      <w:tr w:rsidR="00BC388A" w14:paraId="0D09E7A2" w14:textId="77777777">
        <w:trPr>
          <w:trHeight w:val="380"/>
        </w:trPr>
        <w:tc>
          <w:tcPr>
            <w:tcW w:w="1239" w:type="dxa"/>
            <w:shd w:val="clear" w:color="auto" w:fill="auto"/>
            <w:tcMar>
              <w:top w:w="100" w:type="dxa"/>
              <w:left w:w="100" w:type="dxa"/>
              <w:bottom w:w="100" w:type="dxa"/>
              <w:right w:w="100" w:type="dxa"/>
            </w:tcMar>
          </w:tcPr>
          <w:p w14:paraId="50C2B79A" w14:textId="77777777" w:rsidR="00BC388A" w:rsidRDefault="00140473">
            <w:pPr>
              <w:spacing w:after="0" w:line="240" w:lineRule="auto"/>
              <w:rPr>
                <w:rFonts w:ascii="Calibri" w:eastAsia="Calibri" w:hAnsi="Calibri" w:cs="Calibri"/>
                <w:b/>
                <w:sz w:val="18"/>
                <w:szCs w:val="18"/>
              </w:rPr>
            </w:pPr>
            <w:proofErr w:type="spellStart"/>
            <w:r>
              <w:rPr>
                <w:rFonts w:ascii="Calibri" w:eastAsia="Calibri" w:hAnsi="Calibri" w:cs="Calibri"/>
                <w:b/>
                <w:sz w:val="18"/>
                <w:szCs w:val="18"/>
              </w:rPr>
              <w:t>DynamicDNS</w:t>
            </w:r>
            <w:proofErr w:type="spellEnd"/>
          </w:p>
        </w:tc>
        <w:tc>
          <w:tcPr>
            <w:tcW w:w="1530" w:type="dxa"/>
            <w:shd w:val="clear" w:color="auto" w:fill="D9EAD3"/>
            <w:tcMar>
              <w:top w:w="100" w:type="dxa"/>
              <w:left w:w="100" w:type="dxa"/>
              <w:bottom w:w="100" w:type="dxa"/>
              <w:right w:w="100" w:type="dxa"/>
            </w:tcMar>
          </w:tcPr>
          <w:p w14:paraId="590A706D"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D9EAD3"/>
            <w:tcMar>
              <w:top w:w="100" w:type="dxa"/>
              <w:left w:w="100" w:type="dxa"/>
              <w:bottom w:w="100" w:type="dxa"/>
              <w:right w:w="100" w:type="dxa"/>
            </w:tcMar>
          </w:tcPr>
          <w:p w14:paraId="0087EB81"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D9EAD3"/>
            <w:tcMar>
              <w:top w:w="100" w:type="dxa"/>
              <w:left w:w="100" w:type="dxa"/>
              <w:bottom w:w="100" w:type="dxa"/>
              <w:right w:w="100" w:type="dxa"/>
            </w:tcMar>
          </w:tcPr>
          <w:p w14:paraId="79626889"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F4CCCC"/>
            <w:tcMar>
              <w:top w:w="100" w:type="dxa"/>
              <w:left w:w="100" w:type="dxa"/>
              <w:bottom w:w="100" w:type="dxa"/>
              <w:right w:w="100" w:type="dxa"/>
            </w:tcMar>
          </w:tcPr>
          <w:p w14:paraId="4F514435"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NO</w:t>
            </w:r>
          </w:p>
        </w:tc>
        <w:tc>
          <w:tcPr>
            <w:tcW w:w="1560" w:type="dxa"/>
            <w:shd w:val="clear" w:color="auto" w:fill="FCE5CD"/>
            <w:tcMar>
              <w:top w:w="100" w:type="dxa"/>
              <w:left w:w="100" w:type="dxa"/>
              <w:bottom w:w="100" w:type="dxa"/>
              <w:right w:w="100" w:type="dxa"/>
            </w:tcMar>
          </w:tcPr>
          <w:p w14:paraId="7BB294F8"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IN PROGRESS</w:t>
            </w:r>
          </w:p>
        </w:tc>
      </w:tr>
      <w:tr w:rsidR="00BC388A" w14:paraId="57CDB204" w14:textId="77777777">
        <w:trPr>
          <w:trHeight w:val="380"/>
        </w:trPr>
        <w:tc>
          <w:tcPr>
            <w:tcW w:w="9009" w:type="dxa"/>
            <w:gridSpan w:val="6"/>
            <w:shd w:val="clear" w:color="auto" w:fill="CFE2F3"/>
          </w:tcPr>
          <w:p w14:paraId="5007D6F1"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EOSC Compute Platform: Compute and data federation services</w:t>
            </w:r>
          </w:p>
        </w:tc>
      </w:tr>
      <w:tr w:rsidR="00BC388A" w14:paraId="0D088513" w14:textId="77777777">
        <w:tc>
          <w:tcPr>
            <w:tcW w:w="1239" w:type="dxa"/>
            <w:shd w:val="clear" w:color="auto" w:fill="auto"/>
            <w:tcMar>
              <w:top w:w="100" w:type="dxa"/>
              <w:left w:w="100" w:type="dxa"/>
              <w:bottom w:w="100" w:type="dxa"/>
              <w:right w:w="100" w:type="dxa"/>
            </w:tcMar>
          </w:tcPr>
          <w:p w14:paraId="093334D3"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AppDB</w:t>
            </w:r>
          </w:p>
        </w:tc>
        <w:tc>
          <w:tcPr>
            <w:tcW w:w="1530" w:type="dxa"/>
            <w:shd w:val="clear" w:color="auto" w:fill="D9EAD3"/>
            <w:tcMar>
              <w:top w:w="100" w:type="dxa"/>
              <w:left w:w="100" w:type="dxa"/>
              <w:bottom w:w="100" w:type="dxa"/>
              <w:right w:w="100" w:type="dxa"/>
            </w:tcMar>
          </w:tcPr>
          <w:p w14:paraId="0C7E2F50"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D9EAD3"/>
            <w:tcMar>
              <w:top w:w="100" w:type="dxa"/>
              <w:left w:w="100" w:type="dxa"/>
              <w:bottom w:w="100" w:type="dxa"/>
              <w:right w:w="100" w:type="dxa"/>
            </w:tcMar>
          </w:tcPr>
          <w:p w14:paraId="5FE9CD6D"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D9EAD3"/>
            <w:tcMar>
              <w:top w:w="100" w:type="dxa"/>
              <w:left w:w="100" w:type="dxa"/>
              <w:bottom w:w="100" w:type="dxa"/>
              <w:right w:w="100" w:type="dxa"/>
            </w:tcMar>
          </w:tcPr>
          <w:p w14:paraId="277AC5BC"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F4CCCC"/>
            <w:tcMar>
              <w:top w:w="100" w:type="dxa"/>
              <w:left w:w="100" w:type="dxa"/>
              <w:bottom w:w="100" w:type="dxa"/>
              <w:right w:w="100" w:type="dxa"/>
            </w:tcMar>
          </w:tcPr>
          <w:p w14:paraId="2C008FCB"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NO</w:t>
            </w:r>
          </w:p>
        </w:tc>
        <w:tc>
          <w:tcPr>
            <w:tcW w:w="1560" w:type="dxa"/>
            <w:shd w:val="clear" w:color="auto" w:fill="D9EAD3"/>
            <w:tcMar>
              <w:top w:w="100" w:type="dxa"/>
              <w:left w:w="100" w:type="dxa"/>
              <w:bottom w:w="100" w:type="dxa"/>
              <w:right w:w="100" w:type="dxa"/>
            </w:tcMar>
          </w:tcPr>
          <w:p w14:paraId="2C993810"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r>
      <w:tr w:rsidR="00BC388A" w14:paraId="5C080C11" w14:textId="77777777">
        <w:tc>
          <w:tcPr>
            <w:tcW w:w="1239" w:type="dxa"/>
            <w:shd w:val="clear" w:color="auto" w:fill="auto"/>
            <w:tcMar>
              <w:top w:w="100" w:type="dxa"/>
              <w:left w:w="100" w:type="dxa"/>
              <w:bottom w:w="100" w:type="dxa"/>
              <w:right w:w="100" w:type="dxa"/>
            </w:tcMar>
          </w:tcPr>
          <w:p w14:paraId="1AE5D36A"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Rucio</w:t>
            </w:r>
          </w:p>
        </w:tc>
        <w:tc>
          <w:tcPr>
            <w:tcW w:w="1530" w:type="dxa"/>
            <w:shd w:val="clear" w:color="auto" w:fill="D9EAD3"/>
            <w:tcMar>
              <w:top w:w="100" w:type="dxa"/>
              <w:left w:w="100" w:type="dxa"/>
              <w:bottom w:w="100" w:type="dxa"/>
              <w:right w:w="100" w:type="dxa"/>
            </w:tcMar>
          </w:tcPr>
          <w:p w14:paraId="7DEC551B"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D9EAD3"/>
            <w:tcMar>
              <w:top w:w="100" w:type="dxa"/>
              <w:left w:w="100" w:type="dxa"/>
              <w:bottom w:w="100" w:type="dxa"/>
              <w:right w:w="100" w:type="dxa"/>
            </w:tcMar>
          </w:tcPr>
          <w:p w14:paraId="6E89F793"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D9EAD3"/>
            <w:tcMar>
              <w:top w:w="100" w:type="dxa"/>
              <w:left w:w="100" w:type="dxa"/>
              <w:bottom w:w="100" w:type="dxa"/>
              <w:right w:w="100" w:type="dxa"/>
            </w:tcMar>
          </w:tcPr>
          <w:p w14:paraId="3DEBAB87"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F4CCCC"/>
            <w:tcMar>
              <w:top w:w="100" w:type="dxa"/>
              <w:left w:w="100" w:type="dxa"/>
              <w:bottom w:w="100" w:type="dxa"/>
              <w:right w:w="100" w:type="dxa"/>
            </w:tcMar>
          </w:tcPr>
          <w:p w14:paraId="15202DE4"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NO</w:t>
            </w:r>
          </w:p>
        </w:tc>
        <w:tc>
          <w:tcPr>
            <w:tcW w:w="1560" w:type="dxa"/>
            <w:shd w:val="clear" w:color="auto" w:fill="FCE5CD"/>
            <w:tcMar>
              <w:top w:w="100" w:type="dxa"/>
              <w:left w:w="100" w:type="dxa"/>
              <w:bottom w:w="100" w:type="dxa"/>
              <w:right w:w="100" w:type="dxa"/>
            </w:tcMar>
          </w:tcPr>
          <w:p w14:paraId="0E8D411F"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IN PROGRESS</w:t>
            </w:r>
          </w:p>
        </w:tc>
      </w:tr>
      <w:tr w:rsidR="00BC388A" w14:paraId="5F2BF3FE" w14:textId="77777777">
        <w:tc>
          <w:tcPr>
            <w:tcW w:w="1239" w:type="dxa"/>
            <w:shd w:val="clear" w:color="auto" w:fill="auto"/>
            <w:tcMar>
              <w:top w:w="100" w:type="dxa"/>
              <w:left w:w="100" w:type="dxa"/>
              <w:bottom w:w="100" w:type="dxa"/>
              <w:right w:w="100" w:type="dxa"/>
            </w:tcMar>
          </w:tcPr>
          <w:p w14:paraId="3BC3BECB" w14:textId="77777777" w:rsidR="00BC388A" w:rsidRDefault="00140473">
            <w:pPr>
              <w:spacing w:after="0" w:line="240" w:lineRule="auto"/>
              <w:rPr>
                <w:rFonts w:ascii="Calibri" w:eastAsia="Calibri" w:hAnsi="Calibri" w:cs="Calibri"/>
                <w:b/>
                <w:sz w:val="18"/>
                <w:szCs w:val="18"/>
              </w:rPr>
            </w:pPr>
            <w:proofErr w:type="spellStart"/>
            <w:r>
              <w:rPr>
                <w:rFonts w:ascii="Calibri" w:eastAsia="Calibri" w:hAnsi="Calibri" w:cs="Calibri"/>
                <w:b/>
                <w:sz w:val="18"/>
                <w:szCs w:val="18"/>
              </w:rPr>
              <w:t>OpenRDM</w:t>
            </w:r>
            <w:proofErr w:type="spellEnd"/>
          </w:p>
        </w:tc>
        <w:tc>
          <w:tcPr>
            <w:tcW w:w="1530" w:type="dxa"/>
            <w:shd w:val="clear" w:color="auto" w:fill="D9EAD3"/>
            <w:tcMar>
              <w:top w:w="100" w:type="dxa"/>
              <w:left w:w="100" w:type="dxa"/>
              <w:bottom w:w="100" w:type="dxa"/>
              <w:right w:w="100" w:type="dxa"/>
            </w:tcMar>
          </w:tcPr>
          <w:p w14:paraId="5F7B4AAF"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D9EAD3"/>
            <w:tcMar>
              <w:top w:w="100" w:type="dxa"/>
              <w:left w:w="100" w:type="dxa"/>
              <w:bottom w:w="100" w:type="dxa"/>
              <w:right w:w="100" w:type="dxa"/>
            </w:tcMar>
          </w:tcPr>
          <w:p w14:paraId="17ED0CB8"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D9EAD3"/>
            <w:tcMar>
              <w:top w:w="100" w:type="dxa"/>
              <w:left w:w="100" w:type="dxa"/>
              <w:bottom w:w="100" w:type="dxa"/>
              <w:right w:w="100" w:type="dxa"/>
            </w:tcMar>
          </w:tcPr>
          <w:p w14:paraId="7C0DACF5"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F4CCCC"/>
            <w:tcMar>
              <w:top w:w="100" w:type="dxa"/>
              <w:left w:w="100" w:type="dxa"/>
              <w:bottom w:w="100" w:type="dxa"/>
              <w:right w:w="100" w:type="dxa"/>
            </w:tcMar>
          </w:tcPr>
          <w:p w14:paraId="33B12319"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NO</w:t>
            </w:r>
          </w:p>
        </w:tc>
        <w:tc>
          <w:tcPr>
            <w:tcW w:w="1560" w:type="dxa"/>
            <w:shd w:val="clear" w:color="auto" w:fill="F4CCCC"/>
            <w:tcMar>
              <w:top w:w="100" w:type="dxa"/>
              <w:left w:w="100" w:type="dxa"/>
              <w:bottom w:w="100" w:type="dxa"/>
              <w:right w:w="100" w:type="dxa"/>
            </w:tcMar>
          </w:tcPr>
          <w:p w14:paraId="2D9C45BB"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NO</w:t>
            </w:r>
          </w:p>
        </w:tc>
      </w:tr>
      <w:tr w:rsidR="00BC388A" w14:paraId="6C7A1357" w14:textId="77777777">
        <w:tc>
          <w:tcPr>
            <w:tcW w:w="1239" w:type="dxa"/>
            <w:shd w:val="clear" w:color="auto" w:fill="auto"/>
            <w:tcMar>
              <w:top w:w="100" w:type="dxa"/>
              <w:left w:w="100" w:type="dxa"/>
              <w:bottom w:w="100" w:type="dxa"/>
              <w:right w:w="100" w:type="dxa"/>
            </w:tcMar>
          </w:tcPr>
          <w:p w14:paraId="343C480B"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CVMFS</w:t>
            </w:r>
          </w:p>
        </w:tc>
        <w:tc>
          <w:tcPr>
            <w:tcW w:w="1530" w:type="dxa"/>
            <w:shd w:val="clear" w:color="auto" w:fill="D9EAD3"/>
            <w:tcMar>
              <w:top w:w="100" w:type="dxa"/>
              <w:left w:w="100" w:type="dxa"/>
              <w:bottom w:w="100" w:type="dxa"/>
              <w:right w:w="100" w:type="dxa"/>
            </w:tcMar>
          </w:tcPr>
          <w:p w14:paraId="07A48FA3"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D9EAD3"/>
            <w:tcMar>
              <w:top w:w="100" w:type="dxa"/>
              <w:left w:w="100" w:type="dxa"/>
              <w:bottom w:w="100" w:type="dxa"/>
              <w:right w:w="100" w:type="dxa"/>
            </w:tcMar>
          </w:tcPr>
          <w:p w14:paraId="4F271830"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D9EAD3"/>
            <w:tcMar>
              <w:top w:w="100" w:type="dxa"/>
              <w:left w:w="100" w:type="dxa"/>
              <w:bottom w:w="100" w:type="dxa"/>
              <w:right w:w="100" w:type="dxa"/>
            </w:tcMar>
          </w:tcPr>
          <w:p w14:paraId="29D7B737"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D9EAD3"/>
            <w:tcMar>
              <w:top w:w="100" w:type="dxa"/>
              <w:left w:w="100" w:type="dxa"/>
              <w:bottom w:w="100" w:type="dxa"/>
              <w:right w:w="100" w:type="dxa"/>
            </w:tcMar>
          </w:tcPr>
          <w:p w14:paraId="539C8149"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D9EAD3"/>
            <w:tcMar>
              <w:top w:w="100" w:type="dxa"/>
              <w:left w:w="100" w:type="dxa"/>
              <w:bottom w:w="100" w:type="dxa"/>
              <w:right w:w="100" w:type="dxa"/>
            </w:tcMar>
          </w:tcPr>
          <w:p w14:paraId="3618B239"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r>
      <w:tr w:rsidR="00BC388A" w14:paraId="4675CDF3" w14:textId="77777777">
        <w:trPr>
          <w:trHeight w:val="380"/>
        </w:trPr>
        <w:tc>
          <w:tcPr>
            <w:tcW w:w="9009" w:type="dxa"/>
            <w:gridSpan w:val="6"/>
            <w:shd w:val="clear" w:color="auto" w:fill="CFE2F3"/>
          </w:tcPr>
          <w:p w14:paraId="2244DA42"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EOSC Compute Platform: Platform services</w:t>
            </w:r>
          </w:p>
        </w:tc>
      </w:tr>
      <w:tr w:rsidR="00BC388A" w14:paraId="4EB77159" w14:textId="77777777">
        <w:tc>
          <w:tcPr>
            <w:tcW w:w="1239" w:type="dxa"/>
            <w:shd w:val="clear" w:color="auto" w:fill="auto"/>
            <w:tcMar>
              <w:top w:w="100" w:type="dxa"/>
              <w:left w:w="100" w:type="dxa"/>
              <w:bottom w:w="100" w:type="dxa"/>
              <w:right w:w="100" w:type="dxa"/>
            </w:tcMar>
          </w:tcPr>
          <w:p w14:paraId="306AB10E"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EC3</w:t>
            </w:r>
          </w:p>
        </w:tc>
        <w:tc>
          <w:tcPr>
            <w:tcW w:w="1530" w:type="dxa"/>
            <w:shd w:val="clear" w:color="auto" w:fill="D9EAD3"/>
            <w:tcMar>
              <w:top w:w="100" w:type="dxa"/>
              <w:left w:w="100" w:type="dxa"/>
              <w:bottom w:w="100" w:type="dxa"/>
              <w:right w:w="100" w:type="dxa"/>
            </w:tcMar>
          </w:tcPr>
          <w:p w14:paraId="08172E65"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D9EAD3"/>
            <w:tcMar>
              <w:top w:w="100" w:type="dxa"/>
              <w:left w:w="100" w:type="dxa"/>
              <w:bottom w:w="100" w:type="dxa"/>
              <w:right w:w="100" w:type="dxa"/>
            </w:tcMar>
          </w:tcPr>
          <w:p w14:paraId="7C5B9707"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D9EAD3"/>
            <w:tcMar>
              <w:top w:w="100" w:type="dxa"/>
              <w:left w:w="100" w:type="dxa"/>
              <w:bottom w:w="100" w:type="dxa"/>
              <w:right w:w="100" w:type="dxa"/>
            </w:tcMar>
          </w:tcPr>
          <w:p w14:paraId="60BDEC8A"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F4CCCC"/>
            <w:tcMar>
              <w:top w:w="100" w:type="dxa"/>
              <w:left w:w="100" w:type="dxa"/>
              <w:bottom w:w="100" w:type="dxa"/>
              <w:right w:w="100" w:type="dxa"/>
            </w:tcMar>
          </w:tcPr>
          <w:p w14:paraId="712853DB"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NO</w:t>
            </w:r>
          </w:p>
        </w:tc>
        <w:tc>
          <w:tcPr>
            <w:tcW w:w="1560" w:type="dxa"/>
            <w:shd w:val="clear" w:color="auto" w:fill="FCE5CD"/>
            <w:tcMar>
              <w:top w:w="100" w:type="dxa"/>
              <w:left w:w="100" w:type="dxa"/>
              <w:bottom w:w="100" w:type="dxa"/>
              <w:right w:w="100" w:type="dxa"/>
            </w:tcMar>
          </w:tcPr>
          <w:p w14:paraId="3325DDB7"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IN PROGRESS</w:t>
            </w:r>
          </w:p>
        </w:tc>
      </w:tr>
      <w:tr w:rsidR="00BC388A" w14:paraId="7D5BE342" w14:textId="77777777">
        <w:tc>
          <w:tcPr>
            <w:tcW w:w="1239" w:type="dxa"/>
            <w:shd w:val="clear" w:color="auto" w:fill="auto"/>
            <w:tcMar>
              <w:top w:w="100" w:type="dxa"/>
              <w:left w:w="100" w:type="dxa"/>
              <w:bottom w:w="100" w:type="dxa"/>
              <w:right w:w="100" w:type="dxa"/>
            </w:tcMar>
          </w:tcPr>
          <w:p w14:paraId="6E844230"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highlight w:val="white"/>
              </w:rPr>
              <w:t xml:space="preserve">Infrastructure Manager </w:t>
            </w:r>
          </w:p>
        </w:tc>
        <w:tc>
          <w:tcPr>
            <w:tcW w:w="1530" w:type="dxa"/>
            <w:shd w:val="clear" w:color="auto" w:fill="D9EAD3"/>
            <w:tcMar>
              <w:top w:w="100" w:type="dxa"/>
              <w:left w:w="100" w:type="dxa"/>
              <w:bottom w:w="100" w:type="dxa"/>
              <w:right w:w="100" w:type="dxa"/>
            </w:tcMar>
          </w:tcPr>
          <w:p w14:paraId="62EC29FD"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D9EAD3"/>
            <w:tcMar>
              <w:top w:w="100" w:type="dxa"/>
              <w:left w:w="100" w:type="dxa"/>
              <w:bottom w:w="100" w:type="dxa"/>
              <w:right w:w="100" w:type="dxa"/>
            </w:tcMar>
          </w:tcPr>
          <w:p w14:paraId="1913C72C"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D9EAD3"/>
            <w:tcMar>
              <w:top w:w="100" w:type="dxa"/>
              <w:left w:w="100" w:type="dxa"/>
              <w:bottom w:w="100" w:type="dxa"/>
              <w:right w:w="100" w:type="dxa"/>
            </w:tcMar>
          </w:tcPr>
          <w:p w14:paraId="26CCAAEB"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F4CCCC"/>
            <w:tcMar>
              <w:top w:w="100" w:type="dxa"/>
              <w:left w:w="100" w:type="dxa"/>
              <w:bottom w:w="100" w:type="dxa"/>
              <w:right w:w="100" w:type="dxa"/>
            </w:tcMar>
          </w:tcPr>
          <w:p w14:paraId="14C5BB3C"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NO</w:t>
            </w:r>
          </w:p>
        </w:tc>
        <w:tc>
          <w:tcPr>
            <w:tcW w:w="1560" w:type="dxa"/>
            <w:shd w:val="clear" w:color="auto" w:fill="FCE5CD"/>
            <w:tcMar>
              <w:top w:w="100" w:type="dxa"/>
              <w:left w:w="100" w:type="dxa"/>
              <w:bottom w:w="100" w:type="dxa"/>
              <w:right w:w="100" w:type="dxa"/>
            </w:tcMar>
          </w:tcPr>
          <w:p w14:paraId="00ACB9AD"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IN PROGRESS</w:t>
            </w:r>
          </w:p>
        </w:tc>
      </w:tr>
      <w:tr w:rsidR="00BC388A" w14:paraId="04B52D82" w14:textId="77777777">
        <w:tc>
          <w:tcPr>
            <w:tcW w:w="1239" w:type="dxa"/>
            <w:shd w:val="clear" w:color="auto" w:fill="auto"/>
            <w:tcMar>
              <w:top w:w="100" w:type="dxa"/>
              <w:left w:w="100" w:type="dxa"/>
              <w:bottom w:w="100" w:type="dxa"/>
              <w:right w:w="100" w:type="dxa"/>
            </w:tcMar>
          </w:tcPr>
          <w:p w14:paraId="492A4AC5"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highlight w:val="white"/>
              </w:rPr>
              <w:t>DODAS</w:t>
            </w:r>
          </w:p>
        </w:tc>
        <w:tc>
          <w:tcPr>
            <w:tcW w:w="1530" w:type="dxa"/>
            <w:shd w:val="clear" w:color="auto" w:fill="D9EAD3"/>
            <w:tcMar>
              <w:top w:w="100" w:type="dxa"/>
              <w:left w:w="100" w:type="dxa"/>
              <w:bottom w:w="100" w:type="dxa"/>
              <w:right w:w="100" w:type="dxa"/>
            </w:tcMar>
          </w:tcPr>
          <w:p w14:paraId="76834D3E"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NO</w:t>
            </w:r>
          </w:p>
        </w:tc>
        <w:tc>
          <w:tcPr>
            <w:tcW w:w="1560" w:type="dxa"/>
            <w:shd w:val="clear" w:color="auto" w:fill="D9EAD3"/>
            <w:tcMar>
              <w:top w:w="100" w:type="dxa"/>
              <w:left w:w="100" w:type="dxa"/>
              <w:bottom w:w="100" w:type="dxa"/>
              <w:right w:w="100" w:type="dxa"/>
            </w:tcMar>
          </w:tcPr>
          <w:p w14:paraId="26373006"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D9EAD3"/>
            <w:tcMar>
              <w:top w:w="100" w:type="dxa"/>
              <w:left w:w="100" w:type="dxa"/>
              <w:bottom w:w="100" w:type="dxa"/>
              <w:right w:w="100" w:type="dxa"/>
            </w:tcMar>
          </w:tcPr>
          <w:p w14:paraId="2E3A0A42"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F4CCCC"/>
            <w:tcMar>
              <w:top w:w="100" w:type="dxa"/>
              <w:left w:w="100" w:type="dxa"/>
              <w:bottom w:w="100" w:type="dxa"/>
              <w:right w:w="100" w:type="dxa"/>
            </w:tcMar>
          </w:tcPr>
          <w:p w14:paraId="03A842AC"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NO</w:t>
            </w:r>
          </w:p>
        </w:tc>
        <w:tc>
          <w:tcPr>
            <w:tcW w:w="1560" w:type="dxa"/>
            <w:shd w:val="clear" w:color="auto" w:fill="F4CCCC"/>
            <w:tcMar>
              <w:top w:w="100" w:type="dxa"/>
              <w:left w:w="100" w:type="dxa"/>
              <w:bottom w:w="100" w:type="dxa"/>
              <w:right w:w="100" w:type="dxa"/>
            </w:tcMar>
          </w:tcPr>
          <w:p w14:paraId="691278E7"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NO</w:t>
            </w:r>
          </w:p>
        </w:tc>
      </w:tr>
      <w:tr w:rsidR="00BC388A" w14:paraId="76F680F0" w14:textId="77777777">
        <w:tc>
          <w:tcPr>
            <w:tcW w:w="1239" w:type="dxa"/>
            <w:shd w:val="clear" w:color="auto" w:fill="auto"/>
            <w:tcMar>
              <w:top w:w="100" w:type="dxa"/>
              <w:left w:w="100" w:type="dxa"/>
              <w:bottom w:w="100" w:type="dxa"/>
              <w:right w:w="100" w:type="dxa"/>
            </w:tcMar>
          </w:tcPr>
          <w:p w14:paraId="359F83CF"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Binder</w:t>
            </w:r>
          </w:p>
        </w:tc>
        <w:tc>
          <w:tcPr>
            <w:tcW w:w="1530" w:type="dxa"/>
            <w:shd w:val="clear" w:color="auto" w:fill="D9EAD3"/>
            <w:tcMar>
              <w:top w:w="100" w:type="dxa"/>
              <w:left w:w="100" w:type="dxa"/>
              <w:bottom w:w="100" w:type="dxa"/>
              <w:right w:w="100" w:type="dxa"/>
            </w:tcMar>
          </w:tcPr>
          <w:p w14:paraId="43905CCA"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D9EAD3"/>
            <w:tcMar>
              <w:top w:w="100" w:type="dxa"/>
              <w:left w:w="100" w:type="dxa"/>
              <w:bottom w:w="100" w:type="dxa"/>
              <w:right w:w="100" w:type="dxa"/>
            </w:tcMar>
          </w:tcPr>
          <w:p w14:paraId="14447AE4"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D9EAD3"/>
            <w:tcMar>
              <w:top w:w="100" w:type="dxa"/>
              <w:left w:w="100" w:type="dxa"/>
              <w:bottom w:w="100" w:type="dxa"/>
              <w:right w:w="100" w:type="dxa"/>
            </w:tcMar>
          </w:tcPr>
          <w:p w14:paraId="222B3793"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D9EAD3"/>
            <w:tcMar>
              <w:top w:w="100" w:type="dxa"/>
              <w:left w:w="100" w:type="dxa"/>
              <w:bottom w:w="100" w:type="dxa"/>
              <w:right w:w="100" w:type="dxa"/>
            </w:tcMar>
          </w:tcPr>
          <w:p w14:paraId="6EFFC576"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D9EAD3"/>
            <w:tcMar>
              <w:top w:w="100" w:type="dxa"/>
              <w:left w:w="100" w:type="dxa"/>
              <w:bottom w:w="100" w:type="dxa"/>
              <w:right w:w="100" w:type="dxa"/>
            </w:tcMar>
          </w:tcPr>
          <w:p w14:paraId="65472F82"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r>
      <w:tr w:rsidR="00BC388A" w14:paraId="545A1653" w14:textId="77777777">
        <w:tc>
          <w:tcPr>
            <w:tcW w:w="1239" w:type="dxa"/>
            <w:shd w:val="clear" w:color="auto" w:fill="auto"/>
            <w:tcMar>
              <w:top w:w="100" w:type="dxa"/>
              <w:left w:w="100" w:type="dxa"/>
              <w:bottom w:w="100" w:type="dxa"/>
              <w:right w:w="100" w:type="dxa"/>
            </w:tcMar>
          </w:tcPr>
          <w:p w14:paraId="69BD7AE9"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Indigo PaaS Orchestrator (TOSCA)</w:t>
            </w:r>
          </w:p>
        </w:tc>
        <w:tc>
          <w:tcPr>
            <w:tcW w:w="1530" w:type="dxa"/>
            <w:shd w:val="clear" w:color="auto" w:fill="F4CCCC"/>
            <w:tcMar>
              <w:top w:w="100" w:type="dxa"/>
              <w:left w:w="100" w:type="dxa"/>
              <w:bottom w:w="100" w:type="dxa"/>
              <w:right w:w="100" w:type="dxa"/>
            </w:tcMar>
          </w:tcPr>
          <w:p w14:paraId="25212313"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NO</w:t>
            </w:r>
          </w:p>
        </w:tc>
        <w:tc>
          <w:tcPr>
            <w:tcW w:w="1560" w:type="dxa"/>
            <w:shd w:val="clear" w:color="auto" w:fill="F4CCCC"/>
            <w:tcMar>
              <w:top w:w="100" w:type="dxa"/>
              <w:left w:w="100" w:type="dxa"/>
              <w:bottom w:w="100" w:type="dxa"/>
              <w:right w:w="100" w:type="dxa"/>
            </w:tcMar>
          </w:tcPr>
          <w:p w14:paraId="034B4EFF"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NO</w:t>
            </w:r>
          </w:p>
        </w:tc>
        <w:tc>
          <w:tcPr>
            <w:tcW w:w="1560" w:type="dxa"/>
            <w:shd w:val="clear" w:color="auto" w:fill="F4CCCC"/>
            <w:tcMar>
              <w:top w:w="100" w:type="dxa"/>
              <w:left w:w="100" w:type="dxa"/>
              <w:bottom w:w="100" w:type="dxa"/>
              <w:right w:w="100" w:type="dxa"/>
            </w:tcMar>
          </w:tcPr>
          <w:p w14:paraId="7B223DDC"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NO</w:t>
            </w:r>
          </w:p>
        </w:tc>
        <w:tc>
          <w:tcPr>
            <w:tcW w:w="1560" w:type="dxa"/>
            <w:shd w:val="clear" w:color="auto" w:fill="F4CCCC"/>
            <w:tcMar>
              <w:top w:w="100" w:type="dxa"/>
              <w:left w:w="100" w:type="dxa"/>
              <w:bottom w:w="100" w:type="dxa"/>
              <w:right w:w="100" w:type="dxa"/>
            </w:tcMar>
          </w:tcPr>
          <w:p w14:paraId="6BAC2E16"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NO</w:t>
            </w:r>
          </w:p>
        </w:tc>
        <w:tc>
          <w:tcPr>
            <w:tcW w:w="1560" w:type="dxa"/>
            <w:shd w:val="clear" w:color="auto" w:fill="F4CCCC"/>
            <w:tcMar>
              <w:top w:w="100" w:type="dxa"/>
              <w:left w:w="100" w:type="dxa"/>
              <w:bottom w:w="100" w:type="dxa"/>
              <w:right w:w="100" w:type="dxa"/>
            </w:tcMar>
          </w:tcPr>
          <w:p w14:paraId="4770FB00"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NO</w:t>
            </w:r>
          </w:p>
        </w:tc>
      </w:tr>
      <w:tr w:rsidR="00BC388A" w14:paraId="33054E80" w14:textId="77777777">
        <w:tc>
          <w:tcPr>
            <w:tcW w:w="1239" w:type="dxa"/>
            <w:shd w:val="clear" w:color="auto" w:fill="auto"/>
            <w:tcMar>
              <w:top w:w="100" w:type="dxa"/>
              <w:left w:w="100" w:type="dxa"/>
              <w:bottom w:w="100" w:type="dxa"/>
              <w:right w:w="100" w:type="dxa"/>
            </w:tcMar>
          </w:tcPr>
          <w:p w14:paraId="1F175A80"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DEEP training solution</w:t>
            </w:r>
          </w:p>
        </w:tc>
        <w:tc>
          <w:tcPr>
            <w:tcW w:w="1530" w:type="dxa"/>
            <w:shd w:val="clear" w:color="auto" w:fill="F4CCCC"/>
            <w:tcMar>
              <w:top w:w="100" w:type="dxa"/>
              <w:left w:w="100" w:type="dxa"/>
              <w:bottom w:w="100" w:type="dxa"/>
              <w:right w:w="100" w:type="dxa"/>
            </w:tcMar>
          </w:tcPr>
          <w:p w14:paraId="5DF7AD00"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NO</w:t>
            </w:r>
          </w:p>
        </w:tc>
        <w:tc>
          <w:tcPr>
            <w:tcW w:w="1560" w:type="dxa"/>
            <w:shd w:val="clear" w:color="auto" w:fill="F4CCCC"/>
            <w:tcMar>
              <w:top w:w="100" w:type="dxa"/>
              <w:left w:w="100" w:type="dxa"/>
              <w:bottom w:w="100" w:type="dxa"/>
              <w:right w:w="100" w:type="dxa"/>
            </w:tcMar>
          </w:tcPr>
          <w:p w14:paraId="01B4C44D"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NO</w:t>
            </w:r>
          </w:p>
        </w:tc>
        <w:tc>
          <w:tcPr>
            <w:tcW w:w="1560" w:type="dxa"/>
            <w:shd w:val="clear" w:color="auto" w:fill="F4CCCC"/>
            <w:tcMar>
              <w:top w:w="100" w:type="dxa"/>
              <w:left w:w="100" w:type="dxa"/>
              <w:bottom w:w="100" w:type="dxa"/>
              <w:right w:w="100" w:type="dxa"/>
            </w:tcMar>
          </w:tcPr>
          <w:p w14:paraId="0EDB75A6"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NO</w:t>
            </w:r>
          </w:p>
        </w:tc>
        <w:tc>
          <w:tcPr>
            <w:tcW w:w="1560" w:type="dxa"/>
            <w:shd w:val="clear" w:color="auto" w:fill="F4CCCC"/>
            <w:tcMar>
              <w:top w:w="100" w:type="dxa"/>
              <w:left w:w="100" w:type="dxa"/>
              <w:bottom w:w="100" w:type="dxa"/>
              <w:right w:w="100" w:type="dxa"/>
            </w:tcMar>
          </w:tcPr>
          <w:p w14:paraId="143D1336"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NO</w:t>
            </w:r>
          </w:p>
        </w:tc>
        <w:tc>
          <w:tcPr>
            <w:tcW w:w="1560" w:type="dxa"/>
            <w:shd w:val="clear" w:color="auto" w:fill="F4CCCC"/>
            <w:tcMar>
              <w:top w:w="100" w:type="dxa"/>
              <w:left w:w="100" w:type="dxa"/>
              <w:bottom w:w="100" w:type="dxa"/>
              <w:right w:w="100" w:type="dxa"/>
            </w:tcMar>
          </w:tcPr>
          <w:p w14:paraId="0616C80D"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NO</w:t>
            </w:r>
          </w:p>
        </w:tc>
      </w:tr>
    </w:tbl>
    <w:p w14:paraId="6DA14BAE" w14:textId="77777777" w:rsidR="00BC388A" w:rsidRDefault="00BC388A"/>
    <w:p w14:paraId="5FE1417A" w14:textId="77777777" w:rsidR="00BC388A" w:rsidRDefault="00140473">
      <w:r>
        <w:lastRenderedPageBreak/>
        <w:t xml:space="preserve">Based on the findings we can estimate the amount of work required to bring these services under the EGI Foundation SMS. If these services would like to receive EGI Core funding (i.e. the funds collected by EGI Foundation from its members and redistributed to service providers), then we need to bring the services into the existing EGI governance and SMS. </w:t>
      </w:r>
    </w:p>
    <w:p w14:paraId="5F99DB7B" w14:textId="77777777" w:rsidR="00BC388A" w:rsidRDefault="00140473">
      <w:r>
        <w:t xml:space="preserve">If Core funding is not needed for these new services, then we can go for a ‘lightweight’ SMS, with e.g. requiring maturity in the areas covered in Table 4 above, as well as maturity in some user-facing activities especially Customer Relationship Management and Service Level Management. These requirements could be formulated in a new, ‘lightweight SMS’ that would apply to the services that EGI includes in its portfolio but does not consider as Core service. Deciding on the direction to make with these services is work in 2022 for Task 2.2, the affected service providers, and the EGI Services and Solutions Board (SSB). </w:t>
      </w:r>
    </w:p>
    <w:p w14:paraId="2C85E8AF" w14:textId="77777777" w:rsidR="00BC388A" w:rsidRDefault="00140473" w:rsidP="00567C6D">
      <w:pPr>
        <w:pStyle w:val="Heading2"/>
        <w:numPr>
          <w:ilvl w:val="0"/>
          <w:numId w:val="0"/>
        </w:numPr>
      </w:pPr>
      <w:bookmarkStart w:id="15" w:name="_Toc90565246"/>
      <w:r>
        <w:t>5.3 Service Delivery Maturity Improvement</w:t>
      </w:r>
      <w:bookmarkEnd w:id="15"/>
      <w:r>
        <w:t xml:space="preserve"> </w:t>
      </w:r>
    </w:p>
    <w:p w14:paraId="283C43BD" w14:textId="77777777" w:rsidR="00BC388A" w:rsidRDefault="00140473">
      <w:r>
        <w:t xml:space="preserve">The EGI-ACE project is planning to implement a new initiative to drive up the level of service delivery maturity across all the EGI-ACE services. This will start with the EGI Internal services that are co-funded by EGI Foundation and will then extend to other services of the EGI-ACE Compute Platform, then to the data space/thematic services. </w:t>
      </w:r>
    </w:p>
    <w:p w14:paraId="2AFF6C0C" w14:textId="77777777" w:rsidR="00BC388A" w:rsidRDefault="00140473">
      <w:r>
        <w:t xml:space="preserve">SMS maturity is a cornerstone of service delivery maturity. EGI has been delivering </w:t>
      </w:r>
      <w:proofErr w:type="spellStart"/>
      <w:r>
        <w:t>FitSM</w:t>
      </w:r>
      <w:proofErr w:type="spellEnd"/>
      <w:r>
        <w:t>/ISO27k courses</w:t>
      </w:r>
      <w:r>
        <w:rPr>
          <w:vertAlign w:val="superscript"/>
        </w:rPr>
        <w:footnoteReference w:id="21"/>
      </w:r>
      <w:r>
        <w:t xml:space="preserve"> for 6 years. The project will actively promote the increased update of these courses to key staff involved in service delivery for services delivered as part of EGI ACE.  It will also identify areas of the </w:t>
      </w:r>
      <w:proofErr w:type="spellStart"/>
      <w:r>
        <w:t>SMSes</w:t>
      </w:r>
      <w:proofErr w:type="spellEnd"/>
      <w:r>
        <w:t xml:space="preserve"> of suppliers of services with which integration with the EGI SMS is required and ensure that these areas are integrated. </w:t>
      </w:r>
    </w:p>
    <w:p w14:paraId="23E0DFA7" w14:textId="77777777" w:rsidR="00BC388A" w:rsidRDefault="00140473">
      <w:r>
        <w:t>The requirements of SMS integration can mean different things for different processes and services. For example, for Information Security Management this implies providing details of the security contact responsible for service delivery at an organisation providing services within the EGI Federation and an ability to follow the correct EGI procedures when dealing with a security incident. For Incident and Service Request Management this implies being able to react to tickets raised against a service or resource.  For internal services funded by EGI Foundation, the SMS integration requirements are more stringent; for example, extending to using the Change Management service run by EGI Foundation for changes which have the potential to directly affect other services; producing and periodically updating Capacity Management plans and Availability and Continuity plans.</w:t>
      </w:r>
    </w:p>
    <w:p w14:paraId="04F0D49A" w14:textId="77777777" w:rsidR="00BC388A" w:rsidRDefault="00140473">
      <w:r>
        <w:t>Within the project we plan to drive improvements of service delivery by a process including three main parts:</w:t>
      </w:r>
    </w:p>
    <w:p w14:paraId="2618BDA3" w14:textId="77777777" w:rsidR="00BC388A" w:rsidRDefault="00140473">
      <w:pPr>
        <w:numPr>
          <w:ilvl w:val="0"/>
          <w:numId w:val="17"/>
        </w:numPr>
        <w:spacing w:after="0"/>
      </w:pPr>
      <w:r>
        <w:t>Review, improvement and updating of documentation and training materials for all areas deemed to be within scope of this work for the target services, depending on the considerations outlined above.</w:t>
      </w:r>
    </w:p>
    <w:p w14:paraId="1E2FD7B4" w14:textId="77777777" w:rsidR="00BC388A" w:rsidRDefault="00140473">
      <w:pPr>
        <w:numPr>
          <w:ilvl w:val="0"/>
          <w:numId w:val="17"/>
        </w:numPr>
        <w:spacing w:after="0"/>
      </w:pPr>
      <w:r>
        <w:t xml:space="preserve">Conduct </w:t>
      </w:r>
      <w:proofErr w:type="spellStart"/>
      <w:r>
        <w:t>self evaluation</w:t>
      </w:r>
      <w:proofErr w:type="spellEnd"/>
      <w:r>
        <w:t xml:space="preserve"> by service suppliers on themselves to verify whether the requirements are being met.</w:t>
      </w:r>
    </w:p>
    <w:p w14:paraId="2C72E4CA" w14:textId="77777777" w:rsidR="00BC388A" w:rsidRDefault="00140473">
      <w:pPr>
        <w:numPr>
          <w:ilvl w:val="0"/>
          <w:numId w:val="17"/>
        </w:numPr>
      </w:pPr>
      <w:r>
        <w:t xml:space="preserve">Conduct external evaluation to validate the </w:t>
      </w:r>
      <w:proofErr w:type="spellStart"/>
      <w:r>
        <w:t>self evaluation</w:t>
      </w:r>
      <w:proofErr w:type="spellEnd"/>
      <w:r>
        <w:t>. This may be done with an external party, e.g. EGI Foundation.</w:t>
      </w:r>
    </w:p>
    <w:p w14:paraId="4EBFEF66" w14:textId="77777777" w:rsidR="00BC388A" w:rsidRDefault="00140473">
      <w:r>
        <w:lastRenderedPageBreak/>
        <w:t xml:space="preserve">Improvements to service availability may be made sustainable by incorporating the expectations outlined within this work in future Operational Level Agreements as part of subsequent phases of service delivery. </w:t>
      </w:r>
      <w:r>
        <w:br w:type="page"/>
      </w:r>
    </w:p>
    <w:p w14:paraId="345009FA" w14:textId="77777777" w:rsidR="00BC388A" w:rsidRDefault="00140473" w:rsidP="00567C6D">
      <w:pPr>
        <w:pStyle w:val="Heading1"/>
        <w:numPr>
          <w:ilvl w:val="0"/>
          <w:numId w:val="0"/>
        </w:numPr>
      </w:pPr>
      <w:bookmarkStart w:id="16" w:name="_Toc90565247"/>
      <w:r>
        <w:lastRenderedPageBreak/>
        <w:t>6. FAIR maturity of the EGI-ACE data spaces</w:t>
      </w:r>
      <w:bookmarkEnd w:id="16"/>
      <w:r>
        <w:t xml:space="preserve"> </w:t>
      </w:r>
    </w:p>
    <w:p w14:paraId="7D9B8133" w14:textId="77777777" w:rsidR="00BC388A" w:rsidRDefault="00140473" w:rsidP="00567C6D">
      <w:pPr>
        <w:pStyle w:val="Heading2"/>
        <w:numPr>
          <w:ilvl w:val="0"/>
          <w:numId w:val="0"/>
        </w:numPr>
      </w:pPr>
      <w:bookmarkStart w:id="17" w:name="_Toc90565248"/>
      <w:r>
        <w:t>6.1. The approach</w:t>
      </w:r>
      <w:bookmarkEnd w:id="17"/>
    </w:p>
    <w:p w14:paraId="51B8895F" w14:textId="77777777" w:rsidR="00BC388A" w:rsidRDefault="00140473">
      <w:r>
        <w:t xml:space="preserve">Supporting ‘Findable, Accessible, Interoperable, Reusable’ (FAIR) research is one of the main goals of EOSC. Reaching </w:t>
      </w:r>
      <w:proofErr w:type="spellStart"/>
      <w:r>
        <w:t>FAIRness</w:t>
      </w:r>
      <w:proofErr w:type="spellEnd"/>
      <w:r>
        <w:t xml:space="preserve"> of research objects in EOSC is a shared responsibility of the EOSC-Core, and the services in the EOSC-Exchange. The most important contribution of EGI-ACE to FAIR research objects are the Data Spaces. We therefore carried out a </w:t>
      </w:r>
      <w:proofErr w:type="spellStart"/>
      <w:r>
        <w:t>FAIRness</w:t>
      </w:r>
      <w:proofErr w:type="spellEnd"/>
      <w:r>
        <w:t xml:space="preserve"> assessment of the EGI-ACE Data Spaces with the goals to understand their current level of FAIR maturity, and to identify areas for improvement to reach ‘more </w:t>
      </w:r>
      <w:proofErr w:type="spellStart"/>
      <w:r>
        <w:t>FAIRness’</w:t>
      </w:r>
      <w:proofErr w:type="spellEnd"/>
      <w:r>
        <w:t xml:space="preserve"> in the remaining 18 months. </w:t>
      </w:r>
    </w:p>
    <w:p w14:paraId="2F7AE77E" w14:textId="77777777" w:rsidR="00BC388A" w:rsidRDefault="00140473">
      <w:r>
        <w:t>The project used the “FAIR Data Maturity Model: specification and guidelines”</w:t>
      </w:r>
      <w:r>
        <w:rPr>
          <w:vertAlign w:val="superscript"/>
        </w:rPr>
        <w:footnoteReference w:id="22"/>
      </w:r>
      <w:r>
        <w:t xml:space="preserve"> from the RDA FAIR Data Maturity Model Working Group for the assessment work. This Model, developed between January 2019 and June 2020, was assembled by over 200 experts of research data from more than 20 countries. The main objectives of the RDA FAIR Data Maturity Model are to:</w:t>
      </w:r>
    </w:p>
    <w:p w14:paraId="190F886B" w14:textId="77777777" w:rsidR="00BC388A" w:rsidRDefault="00140473">
      <w:pPr>
        <w:numPr>
          <w:ilvl w:val="0"/>
          <w:numId w:val="11"/>
        </w:numPr>
        <w:spacing w:after="0"/>
      </w:pPr>
      <w:r>
        <w:t xml:space="preserve">Define a sort of lingua franca for the evaluation of </w:t>
      </w:r>
      <w:proofErr w:type="spellStart"/>
      <w:r>
        <w:t>FAIRness</w:t>
      </w:r>
      <w:proofErr w:type="spellEnd"/>
      <w:r>
        <w:t xml:space="preserve"> on a general level, and</w:t>
      </w:r>
    </w:p>
    <w:p w14:paraId="03F13AD4" w14:textId="77777777" w:rsidR="00BC388A" w:rsidRDefault="00140473">
      <w:pPr>
        <w:numPr>
          <w:ilvl w:val="0"/>
          <w:numId w:val="11"/>
        </w:numPr>
      </w:pPr>
      <w:r>
        <w:t xml:space="preserve">make results of FAIR assessment approaches comparable. </w:t>
      </w:r>
    </w:p>
    <w:p w14:paraId="586A9534" w14:textId="77777777" w:rsidR="00BC388A" w:rsidRDefault="00140473">
      <w:r>
        <w:t>From the technical perspective, the RDA model proposes a set of:</w:t>
      </w:r>
    </w:p>
    <w:p w14:paraId="0BEAE2F5" w14:textId="77777777" w:rsidR="00BC388A" w:rsidRDefault="00140473">
      <w:pPr>
        <w:numPr>
          <w:ilvl w:val="0"/>
          <w:numId w:val="7"/>
        </w:numPr>
        <w:spacing w:after="0"/>
      </w:pPr>
      <w:r>
        <w:rPr>
          <w:b/>
        </w:rPr>
        <w:t>Indicators</w:t>
      </w:r>
      <w:r>
        <w:t xml:space="preserve">: the individual aspects of </w:t>
      </w:r>
      <w:proofErr w:type="spellStart"/>
      <w:r>
        <w:t>FAIRness</w:t>
      </w:r>
      <w:proofErr w:type="spellEnd"/>
      <w:r>
        <w:t xml:space="preserve"> that are evaluated on a service/objects/platform,</w:t>
      </w:r>
    </w:p>
    <w:p w14:paraId="4D11762B" w14:textId="77777777" w:rsidR="00BC388A" w:rsidRDefault="00140473">
      <w:pPr>
        <w:numPr>
          <w:ilvl w:val="0"/>
          <w:numId w:val="7"/>
        </w:numPr>
        <w:spacing w:after="0"/>
      </w:pPr>
      <w:r>
        <w:rPr>
          <w:b/>
        </w:rPr>
        <w:t>Priorities</w:t>
      </w:r>
      <w:r>
        <w:t xml:space="preserve">: the relative importance of the indicators to achieve </w:t>
      </w:r>
      <w:proofErr w:type="spellStart"/>
      <w:r>
        <w:t>FAIRness</w:t>
      </w:r>
      <w:proofErr w:type="spellEnd"/>
      <w:r>
        <w:t xml:space="preserve">, and </w:t>
      </w:r>
    </w:p>
    <w:p w14:paraId="31EF2D0F" w14:textId="77777777" w:rsidR="00BC388A" w:rsidRDefault="00140473">
      <w:pPr>
        <w:numPr>
          <w:ilvl w:val="0"/>
          <w:numId w:val="7"/>
        </w:numPr>
      </w:pPr>
      <w:r>
        <w:rPr>
          <w:b/>
        </w:rPr>
        <w:t>Maturity levels</w:t>
      </w:r>
      <w:r>
        <w:t>: the way that the results of the evaluation of the indicators can be given a value. The model uses only two levels: True or False.</w:t>
      </w:r>
    </w:p>
    <w:p w14:paraId="3FA05F55" w14:textId="77777777" w:rsidR="00BC388A" w:rsidRDefault="00140473">
      <w:r>
        <w:t xml:space="preserve">The Model includes </w:t>
      </w:r>
      <w:r>
        <w:rPr>
          <w:b/>
        </w:rPr>
        <w:t>47 indicators</w:t>
      </w:r>
      <w:r>
        <w:t xml:space="preserve">: 7 for the Findable, 12 for the Accessible, 12 for the Interoperable, and 16 for the Reusable aspect. Each indicator can be evaluated as </w:t>
      </w:r>
      <w:r>
        <w:rPr>
          <w:shd w:val="clear" w:color="auto" w:fill="D9EAD3"/>
        </w:rPr>
        <w:t>TRUE</w:t>
      </w:r>
      <w:r>
        <w:t xml:space="preserve">, or </w:t>
      </w:r>
      <w:r>
        <w:rPr>
          <w:shd w:val="clear" w:color="auto" w:fill="F4CCCC"/>
        </w:rPr>
        <w:t>FALSE</w:t>
      </w:r>
      <w:r>
        <w:t xml:space="preserve"> for the object that is in the focus of the assessment. True means that the object satisfies the aspect of the indicator, false means that the object does not satisfy it.</w:t>
      </w:r>
    </w:p>
    <w:p w14:paraId="06761347" w14:textId="77777777" w:rsidR="00BC388A" w:rsidRDefault="00140473">
      <w:r>
        <w:t xml:space="preserve">The Model assigns one </w:t>
      </w:r>
      <w:r>
        <w:rPr>
          <w:b/>
        </w:rPr>
        <w:t>of the following 3 Priorities for each indicator</w:t>
      </w:r>
      <w:r>
        <w:t>:</w:t>
      </w:r>
    </w:p>
    <w:p w14:paraId="7ACE44A2" w14:textId="77777777" w:rsidR="00BC388A" w:rsidRDefault="00140473">
      <w:pPr>
        <w:numPr>
          <w:ilvl w:val="0"/>
          <w:numId w:val="24"/>
        </w:numPr>
        <w:spacing w:after="0"/>
      </w:pPr>
      <w:r>
        <w:rPr>
          <w:b/>
          <w:color w:val="FF0000"/>
        </w:rPr>
        <w:t>Essential</w:t>
      </w:r>
      <w:r>
        <w:t xml:space="preserve">: such an indicator addresses an aspect that is of the utmost importance to achieve the given aspect (F or A or I or R) under most circumstances, or, conversely, the given part of </w:t>
      </w:r>
      <w:proofErr w:type="spellStart"/>
      <w:r>
        <w:t>FAIRness</w:t>
      </w:r>
      <w:proofErr w:type="spellEnd"/>
      <w:r>
        <w:t xml:space="preserve"> would be practically impossible to achieve if the indicator were not satisfied.</w:t>
      </w:r>
    </w:p>
    <w:p w14:paraId="562C03BF" w14:textId="77777777" w:rsidR="00BC388A" w:rsidRDefault="00140473">
      <w:pPr>
        <w:numPr>
          <w:ilvl w:val="0"/>
          <w:numId w:val="24"/>
        </w:numPr>
        <w:spacing w:after="0"/>
      </w:pPr>
      <w:r>
        <w:rPr>
          <w:b/>
          <w:color w:val="FF9900"/>
        </w:rPr>
        <w:t>Important</w:t>
      </w:r>
      <w:r>
        <w:t xml:space="preserve">: such an indicator addresses an aspect that might not be of the utmost importance under specific circumstances, but its satisfaction, if at all possible, would substantially increase the F/A/I/R characteristic. </w:t>
      </w:r>
    </w:p>
    <w:p w14:paraId="71988AD4" w14:textId="77777777" w:rsidR="00BC388A" w:rsidRDefault="00140473">
      <w:pPr>
        <w:numPr>
          <w:ilvl w:val="0"/>
          <w:numId w:val="24"/>
        </w:numPr>
      </w:pPr>
      <w:r>
        <w:rPr>
          <w:b/>
          <w:color w:val="0000FF"/>
        </w:rPr>
        <w:t>Useful</w:t>
      </w:r>
      <w:r>
        <w:t>: such an indicator addresses an aspect that is nice-to-have but is not necessarily indispensable.</w:t>
      </w:r>
    </w:p>
    <w:p w14:paraId="0412DC0F" w14:textId="77777777" w:rsidR="00BC388A" w:rsidRDefault="00140473">
      <w:r>
        <w:lastRenderedPageBreak/>
        <w:t xml:space="preserve">We turned the Model into a </w:t>
      </w:r>
      <w:r>
        <w:rPr>
          <w:b/>
        </w:rPr>
        <w:t>self-assessment survey</w:t>
      </w:r>
      <w:r>
        <w:t xml:space="preserve"> which was filled by the EGI-ACE Data Spaces. The survey itself can be found in the Appendix 1, with the same colours as above indicating the Priorities of the indicators (Red/Orange/Blue):</w:t>
      </w:r>
    </w:p>
    <w:p w14:paraId="6290D46F" w14:textId="77777777" w:rsidR="00BC388A" w:rsidRDefault="00140473">
      <w:pPr>
        <w:numPr>
          <w:ilvl w:val="0"/>
          <w:numId w:val="3"/>
        </w:numPr>
        <w:spacing w:after="0"/>
        <w:ind w:left="2700"/>
      </w:pPr>
      <w:r>
        <w:rPr>
          <w:b/>
          <w:color w:val="FF0000"/>
        </w:rPr>
        <w:t>Red indicators</w:t>
      </w:r>
      <w:r>
        <w:t xml:space="preserve"> are Essential</w:t>
      </w:r>
    </w:p>
    <w:p w14:paraId="69328DDF" w14:textId="77777777" w:rsidR="00BC388A" w:rsidRDefault="00140473">
      <w:pPr>
        <w:numPr>
          <w:ilvl w:val="0"/>
          <w:numId w:val="3"/>
        </w:numPr>
        <w:spacing w:after="0"/>
        <w:ind w:left="2700"/>
      </w:pPr>
      <w:r>
        <w:rPr>
          <w:b/>
          <w:color w:val="FF9900"/>
        </w:rPr>
        <w:t>Orange indicators</w:t>
      </w:r>
      <w:r>
        <w:t xml:space="preserve"> are Important</w:t>
      </w:r>
    </w:p>
    <w:p w14:paraId="5379A543" w14:textId="77777777" w:rsidR="00BC388A" w:rsidRDefault="00140473">
      <w:pPr>
        <w:numPr>
          <w:ilvl w:val="0"/>
          <w:numId w:val="3"/>
        </w:numPr>
        <w:ind w:left="2700"/>
      </w:pPr>
      <w:r>
        <w:rPr>
          <w:b/>
          <w:color w:val="0000FF"/>
        </w:rPr>
        <w:t>Blue indicators</w:t>
      </w:r>
      <w:r>
        <w:t xml:space="preserve"> are Useful</w:t>
      </w:r>
    </w:p>
    <w:p w14:paraId="7CC5E1D7" w14:textId="77777777" w:rsidR="00BC388A" w:rsidRDefault="00140473">
      <w:r>
        <w:t>Appendix 2 includes all the received responses from all the data spaces to all the indicators. The Priority of the indicators are expressed with the same colour coding there too. The next subsections break down the responses by area:</w:t>
      </w:r>
    </w:p>
    <w:p w14:paraId="4E75E187" w14:textId="77777777" w:rsidR="00BC388A" w:rsidRDefault="00140473">
      <w:pPr>
        <w:numPr>
          <w:ilvl w:val="0"/>
          <w:numId w:val="8"/>
        </w:numPr>
        <w:spacing w:after="0"/>
      </w:pPr>
      <w:r>
        <w:t>Section 6.3 details the responses for the “Findable” indicators.</w:t>
      </w:r>
    </w:p>
    <w:p w14:paraId="1B59CB97" w14:textId="77777777" w:rsidR="00BC388A" w:rsidRDefault="00140473">
      <w:pPr>
        <w:numPr>
          <w:ilvl w:val="0"/>
          <w:numId w:val="8"/>
        </w:numPr>
        <w:spacing w:after="0"/>
      </w:pPr>
      <w:r>
        <w:t>Section 6.4 details the responses for the “Accessible” indicators.</w:t>
      </w:r>
    </w:p>
    <w:p w14:paraId="5EE427A3" w14:textId="77777777" w:rsidR="00BC388A" w:rsidRDefault="00140473">
      <w:pPr>
        <w:numPr>
          <w:ilvl w:val="0"/>
          <w:numId w:val="8"/>
        </w:numPr>
        <w:spacing w:after="0"/>
      </w:pPr>
      <w:r>
        <w:t>Section 6.5 details the responses for the “Interoperable” indicators.</w:t>
      </w:r>
    </w:p>
    <w:p w14:paraId="71D17280" w14:textId="77777777" w:rsidR="00BC388A" w:rsidRDefault="00140473">
      <w:pPr>
        <w:numPr>
          <w:ilvl w:val="0"/>
          <w:numId w:val="8"/>
        </w:numPr>
      </w:pPr>
      <w:r>
        <w:t>Section 6.6 details the responses for the “Reusable” indicators.</w:t>
      </w:r>
    </w:p>
    <w:p w14:paraId="0B2293FC" w14:textId="77777777" w:rsidR="00BC388A" w:rsidRDefault="00140473">
      <w:r>
        <w:t xml:space="preserve">To make the responses easier to understand, we came up with a summarising methodology that is used in Sections 6.3-6.6. for each Data Space we measure how many percent of the Essential and Important indicators are met within a given area. These summaries give a good feeling about ‘how close’ (or how far) is a specific Data Space to meet an F/A/I/R area.  The left sides of the tables in Sections 6.2-6.5 list the Indicators of the given areas using the same Red/Orange/Blue colour coding for Priority as earlier. The right side of the tables provide the percentage values for satisfying the Essential and Important indicators. These numbers have coloured background: </w:t>
      </w:r>
    </w:p>
    <w:p w14:paraId="4893EB36" w14:textId="77777777" w:rsidR="00BC388A" w:rsidRDefault="00140473">
      <w:pPr>
        <w:numPr>
          <w:ilvl w:val="0"/>
          <w:numId w:val="21"/>
        </w:numPr>
        <w:spacing w:after="0"/>
      </w:pPr>
      <w:r>
        <w:t xml:space="preserve">If </w:t>
      </w:r>
      <w:r>
        <w:rPr>
          <w:b/>
        </w:rPr>
        <w:t>at least 90% of the Essential and Important indicators are met</w:t>
      </w:r>
      <w:r>
        <w:t xml:space="preserve"> then the background colour is </w:t>
      </w:r>
      <w:r>
        <w:rPr>
          <w:b/>
          <w:shd w:val="clear" w:color="auto" w:fill="93C47D"/>
        </w:rPr>
        <w:t>GREEN</w:t>
      </w:r>
      <w:r>
        <w:t xml:space="preserve">. These Data Spaces require no/minimal further improvement in the respective F/A/I/R area. </w:t>
      </w:r>
    </w:p>
    <w:p w14:paraId="6DB34716" w14:textId="77777777" w:rsidR="00BC388A" w:rsidRDefault="00140473">
      <w:pPr>
        <w:numPr>
          <w:ilvl w:val="0"/>
          <w:numId w:val="21"/>
        </w:numPr>
        <w:spacing w:after="0"/>
      </w:pPr>
      <w:r>
        <w:t xml:space="preserve">If </w:t>
      </w:r>
      <w:r>
        <w:rPr>
          <w:b/>
        </w:rPr>
        <w:t>60-90% of the Essential and Important indicators are met</w:t>
      </w:r>
      <w:r>
        <w:t xml:space="preserve"> then the background colour is </w:t>
      </w:r>
      <w:r>
        <w:rPr>
          <w:b/>
          <w:shd w:val="clear" w:color="auto" w:fill="FF9900"/>
        </w:rPr>
        <w:t>ORANGE</w:t>
      </w:r>
      <w:r>
        <w:t xml:space="preserve">. These Data Spaces require further work to achieve compliance in the respective F/A/I/R area. </w:t>
      </w:r>
    </w:p>
    <w:p w14:paraId="11BB1A58" w14:textId="77777777" w:rsidR="00BC388A" w:rsidRDefault="00140473">
      <w:pPr>
        <w:numPr>
          <w:ilvl w:val="0"/>
          <w:numId w:val="21"/>
        </w:numPr>
      </w:pPr>
      <w:r>
        <w:t xml:space="preserve">If </w:t>
      </w:r>
      <w:r>
        <w:rPr>
          <w:b/>
        </w:rPr>
        <w:t xml:space="preserve">less than 60% of the Essential and Important indicators are met </w:t>
      </w:r>
      <w:r>
        <w:t xml:space="preserve">the </w:t>
      </w:r>
      <w:proofErr w:type="spellStart"/>
      <w:r>
        <w:t>the</w:t>
      </w:r>
      <w:proofErr w:type="spellEnd"/>
      <w:r>
        <w:t xml:space="preserve"> background colour is </w:t>
      </w:r>
      <w:r>
        <w:rPr>
          <w:b/>
          <w:shd w:val="clear" w:color="auto" w:fill="EA9999"/>
        </w:rPr>
        <w:t>RED</w:t>
      </w:r>
      <w:r>
        <w:t>.</w:t>
      </w:r>
      <w:r>
        <w:rPr>
          <w:b/>
        </w:rPr>
        <w:t xml:space="preserve"> </w:t>
      </w:r>
      <w:r>
        <w:t xml:space="preserve">These data spaces require significant work to achieve compliance in the respective F/A/I/R area. </w:t>
      </w:r>
    </w:p>
    <w:p w14:paraId="51EE657A" w14:textId="77777777" w:rsidR="00BC388A" w:rsidRDefault="00140473">
      <w:r>
        <w:t xml:space="preserve">Section 6.6 provides a summary of the assessment findings across all the 4 areas, using the same </w:t>
      </w:r>
      <w:r>
        <w:rPr>
          <w:b/>
          <w:shd w:val="clear" w:color="auto" w:fill="93C47D"/>
        </w:rPr>
        <w:t>GREEN</w:t>
      </w:r>
      <w:r>
        <w:t xml:space="preserve"> / </w:t>
      </w:r>
      <w:r>
        <w:rPr>
          <w:b/>
          <w:shd w:val="clear" w:color="auto" w:fill="FF9900"/>
        </w:rPr>
        <w:t>ORANGE</w:t>
      </w:r>
      <w:r>
        <w:t xml:space="preserve"> / </w:t>
      </w:r>
      <w:r>
        <w:rPr>
          <w:b/>
          <w:shd w:val="clear" w:color="auto" w:fill="EA9999"/>
        </w:rPr>
        <w:t>RED</w:t>
      </w:r>
      <w:r>
        <w:t xml:space="preserve"> background colouring scheme.</w:t>
      </w:r>
    </w:p>
    <w:p w14:paraId="41B7EC69" w14:textId="7EC558D4" w:rsidR="00BC388A" w:rsidRDefault="00140473" w:rsidP="00567C6D">
      <w:pPr>
        <w:pStyle w:val="Heading2"/>
        <w:numPr>
          <w:ilvl w:val="0"/>
          <w:numId w:val="0"/>
        </w:numPr>
        <w:ind w:left="284" w:hanging="360"/>
      </w:pPr>
      <w:bookmarkStart w:id="18" w:name="_Toc90565249"/>
      <w:r>
        <w:t>6.2. Which data spaces were covered, which were</w:t>
      </w:r>
      <w:r w:rsidR="00567C6D">
        <w:t xml:space="preserve"> </w:t>
      </w:r>
      <w:r>
        <w:t>not</w:t>
      </w:r>
      <w:bookmarkEnd w:id="18"/>
    </w:p>
    <w:p w14:paraId="47F551FC" w14:textId="77777777" w:rsidR="00BC388A" w:rsidRDefault="00140473">
      <w:r>
        <w:t>We aimed to cover all the 13 data spaces of WP5 with the assessment. However, we found that two of the data spaces (</w:t>
      </w:r>
      <w:proofErr w:type="spellStart"/>
      <w:r>
        <w:t>OpenRiskNet</w:t>
      </w:r>
      <w:proofErr w:type="spellEnd"/>
      <w:r>
        <w:t>/</w:t>
      </w:r>
      <w:proofErr w:type="spellStart"/>
      <w:r>
        <w:t>NanoCommons</w:t>
      </w:r>
      <w:proofErr w:type="spellEnd"/>
      <w:r>
        <w:t xml:space="preserve"> and OPERAS) are not ready yet for the assessment because their services are not mature enough. These two communities are self-funded in the project. </w:t>
      </w:r>
    </w:p>
    <w:p w14:paraId="29570238" w14:textId="77777777" w:rsidR="00BC388A" w:rsidRDefault="00140473">
      <w:r>
        <w:t xml:space="preserve">The assessment was not carried out to the full extent to the </w:t>
      </w:r>
      <w:proofErr w:type="spellStart"/>
      <w:r>
        <w:t>WeNMR</w:t>
      </w:r>
      <w:proofErr w:type="spellEnd"/>
      <w:r>
        <w:t xml:space="preserve">, </w:t>
      </w:r>
      <w:proofErr w:type="spellStart"/>
      <w:r>
        <w:t>OPENCoastS</w:t>
      </w:r>
      <w:proofErr w:type="spellEnd"/>
      <w:r>
        <w:t xml:space="preserve">, PROMINENCE and VIP Data Spaces, because they act as a computational platform but do not store and manage data for users. Within these platforms the users can upload (or define) input data, define/select data analysis/transformation steps, then download the results after </w:t>
      </w:r>
      <w:r>
        <w:lastRenderedPageBreak/>
        <w:t xml:space="preserve">the computation is finished. Making the computational results FAIR is entirely the users’ responsibility, outside these platforms. The </w:t>
      </w:r>
      <w:proofErr w:type="spellStart"/>
      <w:r>
        <w:t>FAIRness</w:t>
      </w:r>
      <w:proofErr w:type="spellEnd"/>
      <w:r>
        <w:t xml:space="preserve"> assessment therefore does not cover these 4 Data Spaces. </w:t>
      </w:r>
    </w:p>
    <w:p w14:paraId="09FCF7BD" w14:textId="77777777" w:rsidR="00BC388A" w:rsidRDefault="00140473">
      <w:r>
        <w:t xml:space="preserve">The 7 remaining data spaces have been fully assessed with the methodology and their results are included in the sections and tables below: useGalaxy.eu, GBIF, ENES, LOFAR Science Project, EMSO ERIC, </w:t>
      </w:r>
      <w:proofErr w:type="spellStart"/>
      <w:r>
        <w:t>SeaDataNet</w:t>
      </w:r>
      <w:proofErr w:type="spellEnd"/>
      <w:r>
        <w:t xml:space="preserve">, Disaster Mitigation and Agriculture. These are already in production, or close to this stage so their </w:t>
      </w:r>
      <w:proofErr w:type="spellStart"/>
      <w:r>
        <w:t>FAIRness</w:t>
      </w:r>
      <w:proofErr w:type="spellEnd"/>
      <w:r>
        <w:t xml:space="preserve"> features are established. </w:t>
      </w:r>
    </w:p>
    <w:p w14:paraId="48B8B586" w14:textId="77777777" w:rsidR="00BC388A" w:rsidRDefault="00140473" w:rsidP="00567C6D">
      <w:pPr>
        <w:pStyle w:val="Heading2"/>
        <w:numPr>
          <w:ilvl w:val="0"/>
          <w:numId w:val="0"/>
        </w:numPr>
      </w:pPr>
      <w:bookmarkStart w:id="19" w:name="_Toc90565250"/>
      <w:r>
        <w:t>6.3. Findable</w:t>
      </w:r>
      <w:bookmarkEnd w:id="19"/>
    </w:p>
    <w:p w14:paraId="7118A16E" w14:textId="77777777" w:rsidR="00BC388A" w:rsidRDefault="00140473">
      <w:r>
        <w:t>Table 5 shows the summary of the compliance with the Essential and Important indicators of the Finable area. Observations and explanations:</w:t>
      </w:r>
    </w:p>
    <w:p w14:paraId="58F5EB4D" w14:textId="77777777" w:rsidR="00BC388A" w:rsidRDefault="00140473">
      <w:pPr>
        <w:numPr>
          <w:ilvl w:val="0"/>
          <w:numId w:val="25"/>
        </w:numPr>
        <w:spacing w:after="0"/>
      </w:pPr>
      <w:r>
        <w:t xml:space="preserve">GBIF, LOFAR, </w:t>
      </w:r>
      <w:proofErr w:type="spellStart"/>
      <w:r>
        <w:t>SeaDataNet</w:t>
      </w:r>
      <w:proofErr w:type="spellEnd"/>
      <w:r>
        <w:t>, useGalaxy.eu and EMSO ERIC Data Spaces are already fully compliant.</w:t>
      </w:r>
    </w:p>
    <w:p w14:paraId="6D50CA01" w14:textId="77777777" w:rsidR="00BC388A" w:rsidRDefault="00140473">
      <w:pPr>
        <w:numPr>
          <w:ilvl w:val="1"/>
          <w:numId w:val="25"/>
        </w:numPr>
        <w:spacing w:after="0"/>
      </w:pPr>
      <w:r>
        <w:t>useGalaxy.eu does not provide unique identifiers - on purpose, but supports (meta)data exports to public archives, where users can get a global persistent identifier. The PID stored in the Galaxy database can be used to identify each dataset.</w:t>
      </w:r>
    </w:p>
    <w:p w14:paraId="4F626AD2" w14:textId="77777777" w:rsidR="00BC388A" w:rsidRDefault="00140473">
      <w:pPr>
        <w:numPr>
          <w:ilvl w:val="1"/>
          <w:numId w:val="25"/>
        </w:numPr>
        <w:spacing w:after="0"/>
      </w:pPr>
      <w:r>
        <w:t xml:space="preserve">In LOFAR Data Space (meta)data deposited in the advanced science data repository will have a Handle PID associated with it. In addition, also the (Meta)data in the LOFAR instrument archive is assigned a custom persistent identifier maintained by the LOFAR Observatory. A rich set of metadata is supported to facilitate the discovery of the data by the astronomical Virtual Observatory registries. All the data deposited in the advanced data repository will have a globally unique Handle assigned to it. </w:t>
      </w:r>
    </w:p>
    <w:p w14:paraId="0DA8C7D8" w14:textId="77777777" w:rsidR="00BC388A" w:rsidRDefault="00140473">
      <w:pPr>
        <w:numPr>
          <w:ilvl w:val="0"/>
          <w:numId w:val="25"/>
        </w:numPr>
        <w:spacing w:after="0"/>
      </w:pPr>
      <w:r>
        <w:t>The ENES Data Space satisfies 5 indicators out of 7. In this Data Space metadata is not identified by a PID; it relies on CMIP6 Data Reference Syntax and controlled vocabularies. Every CMIP6 record is assigned to a universally unique identifier across the federation and each dataset/file is published with a PID.</w:t>
      </w:r>
    </w:p>
    <w:p w14:paraId="1F075CDF" w14:textId="77777777" w:rsidR="00BC388A" w:rsidRDefault="00140473">
      <w:pPr>
        <w:numPr>
          <w:ilvl w:val="0"/>
          <w:numId w:val="25"/>
        </w:numPr>
      </w:pPr>
      <w:r>
        <w:t>The Disaster Mitigation and Agriculture Data Space is still intensively working on developments and expects improvements in the area during the second part of the project</w:t>
      </w:r>
      <w:r>
        <w:rPr>
          <w:vertAlign w:val="superscript"/>
        </w:rPr>
        <w:footnoteReference w:id="23"/>
      </w:r>
      <w:r>
        <w:t xml:space="preserve">. </w:t>
      </w:r>
    </w:p>
    <w:p w14:paraId="7882A1B6" w14:textId="77777777" w:rsidR="00BC388A" w:rsidRDefault="00BC388A"/>
    <w:p w14:paraId="4682C6FE" w14:textId="77777777" w:rsidR="00BC388A" w:rsidRDefault="00BC388A"/>
    <w:p w14:paraId="2218CC20" w14:textId="77777777" w:rsidR="00BC388A" w:rsidRDefault="00BC388A">
      <w:pPr>
        <w:jc w:val="center"/>
      </w:pPr>
    </w:p>
    <w:p w14:paraId="2C5BB6E7" w14:textId="77777777" w:rsidR="00BC388A" w:rsidRDefault="00BC388A">
      <w:pPr>
        <w:jc w:val="center"/>
      </w:pPr>
    </w:p>
    <w:p w14:paraId="55847623" w14:textId="77777777" w:rsidR="00BC388A" w:rsidRDefault="00140473">
      <w:pPr>
        <w:jc w:val="left"/>
        <w:rPr>
          <w:sz w:val="20"/>
          <w:szCs w:val="20"/>
        </w:rPr>
      </w:pPr>
      <w:r>
        <w:rPr>
          <w:sz w:val="20"/>
          <w:szCs w:val="20"/>
        </w:rPr>
        <w:t>Table 5: The outcome of the “Findable” indicators assessment.</w:t>
      </w:r>
    </w:p>
    <w:tbl>
      <w:tblPr>
        <w:tblStyle w:val="af"/>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50"/>
        <w:gridCol w:w="1965"/>
        <w:gridCol w:w="1800"/>
      </w:tblGrid>
      <w:tr w:rsidR="00BC388A" w14:paraId="25F09A5E" w14:textId="77777777">
        <w:tc>
          <w:tcPr>
            <w:tcW w:w="5250" w:type="dxa"/>
            <w:shd w:val="clear" w:color="auto" w:fill="C9DAF8"/>
            <w:tcMar>
              <w:top w:w="100" w:type="dxa"/>
              <w:left w:w="100" w:type="dxa"/>
              <w:bottom w:w="100" w:type="dxa"/>
              <w:right w:w="100" w:type="dxa"/>
            </w:tcMar>
          </w:tcPr>
          <w:p w14:paraId="55B4FBB9" w14:textId="77777777" w:rsidR="00BC388A" w:rsidRDefault="00140473">
            <w:pPr>
              <w:widowControl w:val="0"/>
              <w:pBdr>
                <w:top w:val="nil"/>
                <w:left w:val="nil"/>
                <w:bottom w:val="nil"/>
                <w:right w:val="nil"/>
                <w:between w:val="nil"/>
              </w:pBdr>
              <w:spacing w:after="0" w:line="240" w:lineRule="auto"/>
              <w:jc w:val="left"/>
              <w:rPr>
                <w:b/>
              </w:rPr>
            </w:pPr>
            <w:r>
              <w:rPr>
                <w:b/>
              </w:rPr>
              <w:t>Findable Indicators</w:t>
            </w:r>
          </w:p>
        </w:tc>
        <w:tc>
          <w:tcPr>
            <w:tcW w:w="1965" w:type="dxa"/>
            <w:shd w:val="clear" w:color="auto" w:fill="C9DAF8"/>
            <w:tcMar>
              <w:top w:w="100" w:type="dxa"/>
              <w:left w:w="100" w:type="dxa"/>
              <w:bottom w:w="100" w:type="dxa"/>
              <w:right w:w="100" w:type="dxa"/>
            </w:tcMar>
          </w:tcPr>
          <w:p w14:paraId="1B29CE56" w14:textId="77777777" w:rsidR="00BC388A" w:rsidRDefault="00140473">
            <w:pPr>
              <w:widowControl w:val="0"/>
              <w:pBdr>
                <w:top w:val="nil"/>
                <w:left w:val="nil"/>
                <w:bottom w:val="nil"/>
                <w:right w:val="nil"/>
                <w:between w:val="nil"/>
              </w:pBdr>
              <w:spacing w:after="0" w:line="240" w:lineRule="auto"/>
              <w:jc w:val="left"/>
              <w:rPr>
                <w:b/>
              </w:rPr>
            </w:pPr>
            <w:r>
              <w:rPr>
                <w:b/>
              </w:rPr>
              <w:t>Data Space</w:t>
            </w:r>
          </w:p>
        </w:tc>
        <w:tc>
          <w:tcPr>
            <w:tcW w:w="1800" w:type="dxa"/>
            <w:shd w:val="clear" w:color="auto" w:fill="C9DAF8"/>
            <w:tcMar>
              <w:top w:w="100" w:type="dxa"/>
              <w:left w:w="100" w:type="dxa"/>
              <w:bottom w:w="100" w:type="dxa"/>
              <w:right w:w="100" w:type="dxa"/>
            </w:tcMar>
          </w:tcPr>
          <w:p w14:paraId="2DDD82D3" w14:textId="77777777" w:rsidR="00BC388A" w:rsidRDefault="00140473">
            <w:pPr>
              <w:widowControl w:val="0"/>
              <w:pBdr>
                <w:top w:val="nil"/>
                <w:left w:val="nil"/>
                <w:bottom w:val="nil"/>
                <w:right w:val="nil"/>
                <w:between w:val="nil"/>
              </w:pBdr>
              <w:spacing w:after="0" w:line="240" w:lineRule="auto"/>
              <w:jc w:val="left"/>
              <w:rPr>
                <w:b/>
              </w:rPr>
            </w:pPr>
            <w:r>
              <w:rPr>
                <w:b/>
              </w:rPr>
              <w:t xml:space="preserve">% of Essential and Important indicators </w:t>
            </w:r>
            <w:r>
              <w:rPr>
                <w:b/>
              </w:rPr>
              <w:lastRenderedPageBreak/>
              <w:t>satisfied</w:t>
            </w:r>
            <w:r>
              <w:rPr>
                <w:b/>
                <w:vertAlign w:val="superscript"/>
              </w:rPr>
              <w:footnoteReference w:id="24"/>
            </w:r>
          </w:p>
        </w:tc>
      </w:tr>
      <w:tr w:rsidR="00BC388A" w14:paraId="76579117" w14:textId="77777777">
        <w:trPr>
          <w:trHeight w:val="788"/>
        </w:trPr>
        <w:tc>
          <w:tcPr>
            <w:tcW w:w="5250" w:type="dxa"/>
            <w:vMerge w:val="restart"/>
          </w:tcPr>
          <w:p w14:paraId="1A5EC717" w14:textId="77777777" w:rsidR="00BC388A" w:rsidRDefault="00140473">
            <w:pPr>
              <w:widowControl w:val="0"/>
              <w:spacing w:after="0" w:line="240" w:lineRule="auto"/>
              <w:jc w:val="left"/>
            </w:pPr>
            <w:r>
              <w:rPr>
                <w:b/>
                <w:color w:val="FF0000"/>
              </w:rPr>
              <w:lastRenderedPageBreak/>
              <w:t>RDA-F1-01M</w:t>
            </w:r>
            <w:r>
              <w:t xml:space="preserve"> Metadata identified by a persistent identifier</w:t>
            </w:r>
            <w:r>
              <w:br/>
            </w:r>
          </w:p>
          <w:p w14:paraId="41088703" w14:textId="77777777" w:rsidR="00BC388A" w:rsidRDefault="00140473">
            <w:pPr>
              <w:widowControl w:val="0"/>
              <w:spacing w:after="0" w:line="240" w:lineRule="auto"/>
              <w:jc w:val="left"/>
            </w:pPr>
            <w:r>
              <w:rPr>
                <w:b/>
                <w:color w:val="FF0000"/>
              </w:rPr>
              <w:t>RDA-F1-01D</w:t>
            </w:r>
            <w:r>
              <w:t xml:space="preserve"> Data identified by a persistent identifier</w:t>
            </w:r>
          </w:p>
          <w:p w14:paraId="7F3046C4" w14:textId="77777777" w:rsidR="00BC388A" w:rsidRDefault="00140473">
            <w:pPr>
              <w:widowControl w:val="0"/>
              <w:spacing w:after="0" w:line="240" w:lineRule="auto"/>
              <w:jc w:val="left"/>
            </w:pPr>
            <w:r>
              <w:br/>
            </w:r>
            <w:r>
              <w:rPr>
                <w:b/>
                <w:color w:val="FF0000"/>
              </w:rPr>
              <w:t>RDA-F1-02M</w:t>
            </w:r>
            <w:r>
              <w:t xml:space="preserve"> Metadata is identified by a globally unique identifier</w:t>
            </w:r>
          </w:p>
          <w:p w14:paraId="7A17D4BF" w14:textId="77777777" w:rsidR="00BC388A" w:rsidRDefault="00140473">
            <w:pPr>
              <w:widowControl w:val="0"/>
              <w:spacing w:after="0" w:line="240" w:lineRule="auto"/>
              <w:jc w:val="left"/>
            </w:pPr>
            <w:r>
              <w:br/>
            </w:r>
            <w:r>
              <w:rPr>
                <w:b/>
                <w:color w:val="FF0000"/>
              </w:rPr>
              <w:t>RDA-F1-02D</w:t>
            </w:r>
            <w:r>
              <w:t xml:space="preserve"> Data is identified by a globally unique identifier</w:t>
            </w:r>
          </w:p>
          <w:p w14:paraId="7F4993DA" w14:textId="77777777" w:rsidR="00BC388A" w:rsidRDefault="00140473">
            <w:pPr>
              <w:widowControl w:val="0"/>
              <w:spacing w:after="0" w:line="240" w:lineRule="auto"/>
              <w:jc w:val="left"/>
            </w:pPr>
            <w:r>
              <w:br/>
            </w:r>
            <w:r>
              <w:rPr>
                <w:b/>
                <w:color w:val="FF0000"/>
              </w:rPr>
              <w:t>RDA-F2-01M</w:t>
            </w:r>
            <w:r>
              <w:t xml:space="preserve"> Rich metadata is provided to allow discovery</w:t>
            </w:r>
          </w:p>
          <w:p w14:paraId="44BA04C3" w14:textId="77777777" w:rsidR="00BC388A" w:rsidRDefault="00140473">
            <w:pPr>
              <w:widowControl w:val="0"/>
              <w:spacing w:after="0" w:line="240" w:lineRule="auto"/>
              <w:jc w:val="left"/>
            </w:pPr>
            <w:r>
              <w:br/>
            </w:r>
            <w:r>
              <w:rPr>
                <w:b/>
                <w:color w:val="FF0000"/>
              </w:rPr>
              <w:t>RDA-F3-01M</w:t>
            </w:r>
            <w:r>
              <w:t xml:space="preserve"> Metadata includes the identifier for the data</w:t>
            </w:r>
          </w:p>
          <w:p w14:paraId="2F557C57" w14:textId="77777777" w:rsidR="00BC388A" w:rsidRDefault="00140473">
            <w:pPr>
              <w:widowControl w:val="0"/>
              <w:spacing w:after="0" w:line="240" w:lineRule="auto"/>
              <w:jc w:val="left"/>
            </w:pPr>
            <w:r>
              <w:br/>
            </w:r>
            <w:r>
              <w:rPr>
                <w:b/>
                <w:color w:val="FF0000"/>
              </w:rPr>
              <w:t>RDA-F4-01M</w:t>
            </w:r>
            <w:r>
              <w:t xml:space="preserve"> Metadata is offered in such a way that it can be harvested and indexed</w:t>
            </w:r>
          </w:p>
        </w:tc>
        <w:tc>
          <w:tcPr>
            <w:tcW w:w="1965" w:type="dxa"/>
            <w:shd w:val="clear" w:color="auto" w:fill="93C47D"/>
            <w:tcMar>
              <w:top w:w="100" w:type="dxa"/>
              <w:left w:w="100" w:type="dxa"/>
              <w:bottom w:w="100" w:type="dxa"/>
              <w:right w:w="100" w:type="dxa"/>
            </w:tcMar>
          </w:tcPr>
          <w:p w14:paraId="7D8FE4BA" w14:textId="77777777" w:rsidR="00BC388A" w:rsidRDefault="00140473">
            <w:pPr>
              <w:widowControl w:val="0"/>
              <w:spacing w:after="0" w:line="240" w:lineRule="auto"/>
              <w:jc w:val="left"/>
              <w:rPr>
                <w:b/>
              </w:rPr>
            </w:pPr>
            <w:r>
              <w:rPr>
                <w:b/>
              </w:rPr>
              <w:t>useGalaxy.eu</w:t>
            </w:r>
          </w:p>
        </w:tc>
        <w:tc>
          <w:tcPr>
            <w:tcW w:w="1800" w:type="dxa"/>
            <w:shd w:val="clear" w:color="auto" w:fill="93C47D"/>
            <w:tcMar>
              <w:top w:w="100" w:type="dxa"/>
              <w:left w:w="100" w:type="dxa"/>
              <w:bottom w:w="100" w:type="dxa"/>
              <w:right w:w="100" w:type="dxa"/>
            </w:tcMar>
          </w:tcPr>
          <w:p w14:paraId="1446AC95" w14:textId="77777777" w:rsidR="00BC388A" w:rsidRDefault="00140473">
            <w:pPr>
              <w:widowControl w:val="0"/>
              <w:spacing w:after="0" w:line="240" w:lineRule="auto"/>
              <w:jc w:val="left"/>
              <w:rPr>
                <w:b/>
              </w:rPr>
            </w:pPr>
            <w:r>
              <w:rPr>
                <w:b/>
              </w:rPr>
              <w:t>100%</w:t>
            </w:r>
          </w:p>
        </w:tc>
      </w:tr>
      <w:tr w:rsidR="00BC388A" w14:paraId="423E5F71" w14:textId="77777777">
        <w:trPr>
          <w:trHeight w:val="788"/>
        </w:trPr>
        <w:tc>
          <w:tcPr>
            <w:tcW w:w="5250" w:type="dxa"/>
            <w:vMerge/>
            <w:shd w:val="clear" w:color="auto" w:fill="auto"/>
            <w:tcMar>
              <w:top w:w="100" w:type="dxa"/>
              <w:left w:w="100" w:type="dxa"/>
              <w:bottom w:w="100" w:type="dxa"/>
              <w:right w:w="100" w:type="dxa"/>
            </w:tcMar>
          </w:tcPr>
          <w:p w14:paraId="18660BB4" w14:textId="77777777" w:rsidR="00BC388A" w:rsidRDefault="00BC388A">
            <w:pPr>
              <w:widowControl w:val="0"/>
              <w:pBdr>
                <w:top w:val="nil"/>
                <w:left w:val="nil"/>
                <w:bottom w:val="nil"/>
                <w:right w:val="nil"/>
                <w:between w:val="nil"/>
              </w:pBdr>
              <w:spacing w:after="0" w:line="240" w:lineRule="auto"/>
              <w:jc w:val="left"/>
            </w:pPr>
          </w:p>
        </w:tc>
        <w:tc>
          <w:tcPr>
            <w:tcW w:w="1965" w:type="dxa"/>
            <w:shd w:val="clear" w:color="auto" w:fill="93C47D"/>
            <w:tcMar>
              <w:top w:w="100" w:type="dxa"/>
              <w:left w:w="100" w:type="dxa"/>
              <w:bottom w:w="100" w:type="dxa"/>
              <w:right w:w="100" w:type="dxa"/>
            </w:tcMar>
          </w:tcPr>
          <w:p w14:paraId="1DDBC50B" w14:textId="77777777" w:rsidR="00BC388A" w:rsidRDefault="00140473">
            <w:pPr>
              <w:widowControl w:val="0"/>
              <w:pBdr>
                <w:top w:val="nil"/>
                <w:left w:val="nil"/>
                <w:bottom w:val="nil"/>
                <w:right w:val="nil"/>
                <w:between w:val="nil"/>
              </w:pBdr>
              <w:spacing w:after="0" w:line="240" w:lineRule="auto"/>
              <w:jc w:val="left"/>
              <w:rPr>
                <w:b/>
              </w:rPr>
            </w:pPr>
            <w:r>
              <w:rPr>
                <w:b/>
              </w:rPr>
              <w:t>GBIF</w:t>
            </w:r>
          </w:p>
        </w:tc>
        <w:tc>
          <w:tcPr>
            <w:tcW w:w="1800" w:type="dxa"/>
            <w:shd w:val="clear" w:color="auto" w:fill="93C47D"/>
            <w:tcMar>
              <w:top w:w="100" w:type="dxa"/>
              <w:left w:w="100" w:type="dxa"/>
              <w:bottom w:w="100" w:type="dxa"/>
              <w:right w:w="100" w:type="dxa"/>
            </w:tcMar>
          </w:tcPr>
          <w:p w14:paraId="132309DF" w14:textId="77777777" w:rsidR="00BC388A" w:rsidRDefault="00140473">
            <w:pPr>
              <w:widowControl w:val="0"/>
              <w:pBdr>
                <w:top w:val="nil"/>
                <w:left w:val="nil"/>
                <w:bottom w:val="nil"/>
                <w:right w:val="nil"/>
                <w:between w:val="nil"/>
              </w:pBdr>
              <w:spacing w:after="0" w:line="240" w:lineRule="auto"/>
              <w:jc w:val="left"/>
              <w:rPr>
                <w:b/>
              </w:rPr>
            </w:pPr>
            <w:r>
              <w:rPr>
                <w:b/>
              </w:rPr>
              <w:t>100%</w:t>
            </w:r>
          </w:p>
        </w:tc>
      </w:tr>
      <w:tr w:rsidR="00BC388A" w14:paraId="4F8044B1" w14:textId="77777777">
        <w:trPr>
          <w:trHeight w:val="788"/>
        </w:trPr>
        <w:tc>
          <w:tcPr>
            <w:tcW w:w="5250" w:type="dxa"/>
            <w:vMerge/>
            <w:shd w:val="clear" w:color="auto" w:fill="auto"/>
            <w:tcMar>
              <w:top w:w="100" w:type="dxa"/>
              <w:left w:w="100" w:type="dxa"/>
              <w:bottom w:w="100" w:type="dxa"/>
              <w:right w:w="100" w:type="dxa"/>
            </w:tcMar>
          </w:tcPr>
          <w:p w14:paraId="6DE04B10" w14:textId="77777777" w:rsidR="00BC388A" w:rsidRDefault="00BC388A">
            <w:pPr>
              <w:widowControl w:val="0"/>
              <w:pBdr>
                <w:top w:val="nil"/>
                <w:left w:val="nil"/>
                <w:bottom w:val="nil"/>
                <w:right w:val="nil"/>
                <w:between w:val="nil"/>
              </w:pBdr>
              <w:spacing w:after="0" w:line="240" w:lineRule="auto"/>
              <w:jc w:val="left"/>
            </w:pPr>
          </w:p>
        </w:tc>
        <w:tc>
          <w:tcPr>
            <w:tcW w:w="1965" w:type="dxa"/>
            <w:shd w:val="clear" w:color="auto" w:fill="FF9900"/>
            <w:tcMar>
              <w:top w:w="100" w:type="dxa"/>
              <w:left w:w="100" w:type="dxa"/>
              <w:bottom w:w="100" w:type="dxa"/>
              <w:right w:w="100" w:type="dxa"/>
            </w:tcMar>
          </w:tcPr>
          <w:p w14:paraId="50AC9CEC" w14:textId="77777777" w:rsidR="00BC388A" w:rsidRDefault="00140473">
            <w:pPr>
              <w:widowControl w:val="0"/>
              <w:pBdr>
                <w:top w:val="nil"/>
                <w:left w:val="nil"/>
                <w:bottom w:val="nil"/>
                <w:right w:val="nil"/>
                <w:between w:val="nil"/>
              </w:pBdr>
              <w:spacing w:after="0" w:line="240" w:lineRule="auto"/>
              <w:jc w:val="left"/>
              <w:rPr>
                <w:b/>
              </w:rPr>
            </w:pPr>
            <w:r>
              <w:rPr>
                <w:b/>
              </w:rPr>
              <w:t>ENES</w:t>
            </w:r>
          </w:p>
        </w:tc>
        <w:tc>
          <w:tcPr>
            <w:tcW w:w="1800" w:type="dxa"/>
            <w:shd w:val="clear" w:color="auto" w:fill="FF9900"/>
            <w:tcMar>
              <w:top w:w="100" w:type="dxa"/>
              <w:left w:w="100" w:type="dxa"/>
              <w:bottom w:w="100" w:type="dxa"/>
              <w:right w:w="100" w:type="dxa"/>
            </w:tcMar>
          </w:tcPr>
          <w:p w14:paraId="090CEA2C" w14:textId="77777777" w:rsidR="00BC388A" w:rsidRDefault="00140473">
            <w:pPr>
              <w:widowControl w:val="0"/>
              <w:pBdr>
                <w:top w:val="nil"/>
                <w:left w:val="nil"/>
                <w:bottom w:val="nil"/>
                <w:right w:val="nil"/>
                <w:between w:val="nil"/>
              </w:pBdr>
              <w:spacing w:after="0" w:line="240" w:lineRule="auto"/>
              <w:jc w:val="left"/>
              <w:rPr>
                <w:b/>
              </w:rPr>
            </w:pPr>
            <w:r>
              <w:rPr>
                <w:b/>
              </w:rPr>
              <w:t>71%</w:t>
            </w:r>
          </w:p>
        </w:tc>
      </w:tr>
      <w:tr w:rsidR="00BC388A" w14:paraId="197B97DD" w14:textId="77777777">
        <w:trPr>
          <w:trHeight w:val="788"/>
        </w:trPr>
        <w:tc>
          <w:tcPr>
            <w:tcW w:w="5250" w:type="dxa"/>
            <w:vMerge/>
            <w:shd w:val="clear" w:color="auto" w:fill="auto"/>
            <w:tcMar>
              <w:top w:w="100" w:type="dxa"/>
              <w:left w:w="100" w:type="dxa"/>
              <w:bottom w:w="100" w:type="dxa"/>
              <w:right w:w="100" w:type="dxa"/>
            </w:tcMar>
          </w:tcPr>
          <w:p w14:paraId="06D828AD" w14:textId="77777777" w:rsidR="00BC388A" w:rsidRDefault="00BC388A">
            <w:pPr>
              <w:widowControl w:val="0"/>
              <w:pBdr>
                <w:top w:val="nil"/>
                <w:left w:val="nil"/>
                <w:bottom w:val="nil"/>
                <w:right w:val="nil"/>
                <w:between w:val="nil"/>
              </w:pBdr>
              <w:spacing w:after="0" w:line="240" w:lineRule="auto"/>
              <w:jc w:val="left"/>
            </w:pPr>
          </w:p>
        </w:tc>
        <w:tc>
          <w:tcPr>
            <w:tcW w:w="1965" w:type="dxa"/>
            <w:shd w:val="clear" w:color="auto" w:fill="93C47D"/>
            <w:tcMar>
              <w:top w:w="100" w:type="dxa"/>
              <w:left w:w="100" w:type="dxa"/>
              <w:bottom w:w="100" w:type="dxa"/>
              <w:right w:w="100" w:type="dxa"/>
            </w:tcMar>
          </w:tcPr>
          <w:p w14:paraId="2D9D1751" w14:textId="77777777" w:rsidR="00BC388A" w:rsidRDefault="00140473">
            <w:pPr>
              <w:widowControl w:val="0"/>
              <w:pBdr>
                <w:top w:val="nil"/>
                <w:left w:val="nil"/>
                <w:bottom w:val="nil"/>
                <w:right w:val="nil"/>
                <w:between w:val="nil"/>
              </w:pBdr>
              <w:spacing w:after="0" w:line="240" w:lineRule="auto"/>
              <w:jc w:val="left"/>
              <w:rPr>
                <w:b/>
              </w:rPr>
            </w:pPr>
            <w:r>
              <w:rPr>
                <w:b/>
              </w:rPr>
              <w:t>LOFAR Science Project</w:t>
            </w:r>
          </w:p>
        </w:tc>
        <w:tc>
          <w:tcPr>
            <w:tcW w:w="1800" w:type="dxa"/>
            <w:shd w:val="clear" w:color="auto" w:fill="93C47D"/>
            <w:tcMar>
              <w:top w:w="100" w:type="dxa"/>
              <w:left w:w="100" w:type="dxa"/>
              <w:bottom w:w="100" w:type="dxa"/>
              <w:right w:w="100" w:type="dxa"/>
            </w:tcMar>
          </w:tcPr>
          <w:p w14:paraId="7E94472D" w14:textId="77777777" w:rsidR="00BC388A" w:rsidRDefault="00140473">
            <w:pPr>
              <w:widowControl w:val="0"/>
              <w:pBdr>
                <w:top w:val="nil"/>
                <w:left w:val="nil"/>
                <w:bottom w:val="nil"/>
                <w:right w:val="nil"/>
                <w:between w:val="nil"/>
              </w:pBdr>
              <w:spacing w:after="0" w:line="240" w:lineRule="auto"/>
              <w:jc w:val="left"/>
              <w:rPr>
                <w:b/>
              </w:rPr>
            </w:pPr>
            <w:r>
              <w:rPr>
                <w:b/>
              </w:rPr>
              <w:t>100%</w:t>
            </w:r>
          </w:p>
        </w:tc>
      </w:tr>
      <w:tr w:rsidR="00BC388A" w14:paraId="4B40A5B2" w14:textId="77777777">
        <w:trPr>
          <w:trHeight w:val="788"/>
        </w:trPr>
        <w:tc>
          <w:tcPr>
            <w:tcW w:w="5250" w:type="dxa"/>
            <w:vMerge/>
            <w:shd w:val="clear" w:color="auto" w:fill="auto"/>
            <w:tcMar>
              <w:top w:w="100" w:type="dxa"/>
              <w:left w:w="100" w:type="dxa"/>
              <w:bottom w:w="100" w:type="dxa"/>
              <w:right w:w="100" w:type="dxa"/>
            </w:tcMar>
          </w:tcPr>
          <w:p w14:paraId="357DBF58" w14:textId="77777777" w:rsidR="00BC388A" w:rsidRDefault="00BC388A">
            <w:pPr>
              <w:widowControl w:val="0"/>
              <w:pBdr>
                <w:top w:val="nil"/>
                <w:left w:val="nil"/>
                <w:bottom w:val="nil"/>
                <w:right w:val="nil"/>
                <w:between w:val="nil"/>
              </w:pBdr>
              <w:spacing w:after="0" w:line="240" w:lineRule="auto"/>
              <w:jc w:val="left"/>
            </w:pPr>
          </w:p>
        </w:tc>
        <w:tc>
          <w:tcPr>
            <w:tcW w:w="1965" w:type="dxa"/>
            <w:shd w:val="clear" w:color="auto" w:fill="93C47D"/>
            <w:tcMar>
              <w:top w:w="100" w:type="dxa"/>
              <w:left w:w="100" w:type="dxa"/>
              <w:bottom w:w="100" w:type="dxa"/>
              <w:right w:w="100" w:type="dxa"/>
            </w:tcMar>
          </w:tcPr>
          <w:p w14:paraId="34226671" w14:textId="77777777" w:rsidR="00BC388A" w:rsidRDefault="00140473">
            <w:pPr>
              <w:widowControl w:val="0"/>
              <w:pBdr>
                <w:top w:val="nil"/>
                <w:left w:val="nil"/>
                <w:bottom w:val="nil"/>
                <w:right w:val="nil"/>
                <w:between w:val="nil"/>
              </w:pBdr>
              <w:spacing w:after="0" w:line="240" w:lineRule="auto"/>
              <w:jc w:val="left"/>
              <w:rPr>
                <w:b/>
              </w:rPr>
            </w:pPr>
            <w:r>
              <w:rPr>
                <w:b/>
              </w:rPr>
              <w:t>EMSO ERIC</w:t>
            </w:r>
          </w:p>
        </w:tc>
        <w:tc>
          <w:tcPr>
            <w:tcW w:w="1800" w:type="dxa"/>
            <w:shd w:val="clear" w:color="auto" w:fill="93C47D"/>
            <w:tcMar>
              <w:top w:w="100" w:type="dxa"/>
              <w:left w:w="100" w:type="dxa"/>
              <w:bottom w:w="100" w:type="dxa"/>
              <w:right w:w="100" w:type="dxa"/>
            </w:tcMar>
          </w:tcPr>
          <w:p w14:paraId="26C0BDDE" w14:textId="77777777" w:rsidR="00BC388A" w:rsidRDefault="00140473">
            <w:pPr>
              <w:widowControl w:val="0"/>
              <w:pBdr>
                <w:top w:val="nil"/>
                <w:left w:val="nil"/>
                <w:bottom w:val="nil"/>
                <w:right w:val="nil"/>
                <w:between w:val="nil"/>
              </w:pBdr>
              <w:spacing w:after="0" w:line="240" w:lineRule="auto"/>
              <w:jc w:val="left"/>
              <w:rPr>
                <w:b/>
              </w:rPr>
            </w:pPr>
            <w:r>
              <w:rPr>
                <w:b/>
              </w:rPr>
              <w:t>100%</w:t>
            </w:r>
          </w:p>
        </w:tc>
      </w:tr>
      <w:tr w:rsidR="00BC388A" w14:paraId="593F0B55" w14:textId="77777777">
        <w:trPr>
          <w:trHeight w:val="788"/>
        </w:trPr>
        <w:tc>
          <w:tcPr>
            <w:tcW w:w="5250" w:type="dxa"/>
            <w:vMerge/>
            <w:shd w:val="clear" w:color="auto" w:fill="auto"/>
            <w:tcMar>
              <w:top w:w="100" w:type="dxa"/>
              <w:left w:w="100" w:type="dxa"/>
              <w:bottom w:w="100" w:type="dxa"/>
              <w:right w:w="100" w:type="dxa"/>
            </w:tcMar>
          </w:tcPr>
          <w:p w14:paraId="0A217269" w14:textId="77777777" w:rsidR="00BC388A" w:rsidRDefault="00BC388A">
            <w:pPr>
              <w:widowControl w:val="0"/>
              <w:pBdr>
                <w:top w:val="nil"/>
                <w:left w:val="nil"/>
                <w:bottom w:val="nil"/>
                <w:right w:val="nil"/>
                <w:between w:val="nil"/>
              </w:pBdr>
              <w:spacing w:after="0" w:line="240" w:lineRule="auto"/>
              <w:jc w:val="left"/>
            </w:pPr>
          </w:p>
        </w:tc>
        <w:tc>
          <w:tcPr>
            <w:tcW w:w="1965" w:type="dxa"/>
            <w:shd w:val="clear" w:color="auto" w:fill="93C47D"/>
            <w:tcMar>
              <w:top w:w="100" w:type="dxa"/>
              <w:left w:w="100" w:type="dxa"/>
              <w:bottom w:w="100" w:type="dxa"/>
              <w:right w:w="100" w:type="dxa"/>
            </w:tcMar>
          </w:tcPr>
          <w:p w14:paraId="402EEA54" w14:textId="77777777" w:rsidR="00BC388A" w:rsidRDefault="00140473">
            <w:pPr>
              <w:widowControl w:val="0"/>
              <w:pBdr>
                <w:top w:val="nil"/>
                <w:left w:val="nil"/>
                <w:bottom w:val="nil"/>
                <w:right w:val="nil"/>
                <w:between w:val="nil"/>
              </w:pBdr>
              <w:spacing w:after="0" w:line="240" w:lineRule="auto"/>
              <w:jc w:val="left"/>
              <w:rPr>
                <w:b/>
              </w:rPr>
            </w:pPr>
            <w:proofErr w:type="spellStart"/>
            <w:r>
              <w:rPr>
                <w:b/>
              </w:rPr>
              <w:t>SeaDataNet</w:t>
            </w:r>
            <w:proofErr w:type="spellEnd"/>
          </w:p>
        </w:tc>
        <w:tc>
          <w:tcPr>
            <w:tcW w:w="1800" w:type="dxa"/>
            <w:shd w:val="clear" w:color="auto" w:fill="93C47D"/>
            <w:tcMar>
              <w:top w:w="100" w:type="dxa"/>
              <w:left w:w="100" w:type="dxa"/>
              <w:bottom w:w="100" w:type="dxa"/>
              <w:right w:w="100" w:type="dxa"/>
            </w:tcMar>
          </w:tcPr>
          <w:p w14:paraId="62E07D98" w14:textId="77777777" w:rsidR="00BC388A" w:rsidRDefault="00140473">
            <w:pPr>
              <w:widowControl w:val="0"/>
              <w:pBdr>
                <w:top w:val="nil"/>
                <w:left w:val="nil"/>
                <w:bottom w:val="nil"/>
                <w:right w:val="nil"/>
                <w:between w:val="nil"/>
              </w:pBdr>
              <w:spacing w:after="0" w:line="240" w:lineRule="auto"/>
              <w:jc w:val="left"/>
              <w:rPr>
                <w:b/>
              </w:rPr>
            </w:pPr>
            <w:r>
              <w:rPr>
                <w:b/>
              </w:rPr>
              <w:t>100%</w:t>
            </w:r>
          </w:p>
        </w:tc>
      </w:tr>
      <w:tr w:rsidR="00BC388A" w14:paraId="7BE5DB37" w14:textId="77777777">
        <w:trPr>
          <w:trHeight w:val="788"/>
        </w:trPr>
        <w:tc>
          <w:tcPr>
            <w:tcW w:w="5250" w:type="dxa"/>
            <w:vMerge/>
            <w:shd w:val="clear" w:color="auto" w:fill="auto"/>
            <w:tcMar>
              <w:top w:w="100" w:type="dxa"/>
              <w:left w:w="100" w:type="dxa"/>
              <w:bottom w:w="100" w:type="dxa"/>
              <w:right w:w="100" w:type="dxa"/>
            </w:tcMar>
          </w:tcPr>
          <w:p w14:paraId="62A290EC" w14:textId="77777777" w:rsidR="00BC388A" w:rsidRDefault="00BC388A">
            <w:pPr>
              <w:widowControl w:val="0"/>
              <w:pBdr>
                <w:top w:val="nil"/>
                <w:left w:val="nil"/>
                <w:bottom w:val="nil"/>
                <w:right w:val="nil"/>
                <w:between w:val="nil"/>
              </w:pBdr>
              <w:spacing w:after="0" w:line="240" w:lineRule="auto"/>
              <w:jc w:val="left"/>
            </w:pPr>
          </w:p>
        </w:tc>
        <w:tc>
          <w:tcPr>
            <w:tcW w:w="1965" w:type="dxa"/>
            <w:shd w:val="clear" w:color="auto" w:fill="EA9999"/>
            <w:tcMar>
              <w:top w:w="100" w:type="dxa"/>
              <w:left w:w="100" w:type="dxa"/>
              <w:bottom w:w="100" w:type="dxa"/>
              <w:right w:w="100" w:type="dxa"/>
            </w:tcMar>
          </w:tcPr>
          <w:p w14:paraId="119E8DCC" w14:textId="77777777" w:rsidR="00BC388A" w:rsidRDefault="00140473">
            <w:pPr>
              <w:widowControl w:val="0"/>
              <w:pBdr>
                <w:top w:val="nil"/>
                <w:left w:val="nil"/>
                <w:bottom w:val="nil"/>
                <w:right w:val="nil"/>
                <w:between w:val="nil"/>
              </w:pBdr>
              <w:spacing w:after="0" w:line="240" w:lineRule="auto"/>
              <w:jc w:val="left"/>
              <w:rPr>
                <w:b/>
              </w:rPr>
            </w:pPr>
            <w:r>
              <w:rPr>
                <w:b/>
              </w:rPr>
              <w:t>Disaster Mitigation and Agriculture</w:t>
            </w:r>
          </w:p>
        </w:tc>
        <w:tc>
          <w:tcPr>
            <w:tcW w:w="1800" w:type="dxa"/>
            <w:shd w:val="clear" w:color="auto" w:fill="EA9999"/>
            <w:tcMar>
              <w:top w:w="100" w:type="dxa"/>
              <w:left w:w="100" w:type="dxa"/>
              <w:bottom w:w="100" w:type="dxa"/>
              <w:right w:w="100" w:type="dxa"/>
            </w:tcMar>
          </w:tcPr>
          <w:p w14:paraId="0AB27958" w14:textId="77777777" w:rsidR="00BC388A" w:rsidRDefault="00140473">
            <w:pPr>
              <w:widowControl w:val="0"/>
              <w:pBdr>
                <w:top w:val="nil"/>
                <w:left w:val="nil"/>
                <w:bottom w:val="nil"/>
                <w:right w:val="nil"/>
                <w:between w:val="nil"/>
              </w:pBdr>
              <w:spacing w:after="0" w:line="240" w:lineRule="auto"/>
              <w:jc w:val="left"/>
              <w:rPr>
                <w:b/>
              </w:rPr>
            </w:pPr>
            <w:r>
              <w:rPr>
                <w:b/>
              </w:rPr>
              <w:t>0%</w:t>
            </w:r>
          </w:p>
        </w:tc>
      </w:tr>
    </w:tbl>
    <w:p w14:paraId="3C17BA4D" w14:textId="77777777" w:rsidR="00BC388A" w:rsidRDefault="00BC388A">
      <w:pPr>
        <w:jc w:val="left"/>
        <w:rPr>
          <w:b/>
          <w:sz w:val="20"/>
          <w:szCs w:val="20"/>
        </w:rPr>
      </w:pPr>
    </w:p>
    <w:p w14:paraId="7552F668" w14:textId="77777777" w:rsidR="00BC388A" w:rsidRDefault="00140473" w:rsidP="00567C6D">
      <w:pPr>
        <w:pStyle w:val="Heading2"/>
        <w:numPr>
          <w:ilvl w:val="0"/>
          <w:numId w:val="0"/>
        </w:numPr>
      </w:pPr>
      <w:bookmarkStart w:id="20" w:name="_Toc90565251"/>
      <w:r>
        <w:t>6.4. Accessible</w:t>
      </w:r>
      <w:bookmarkEnd w:id="20"/>
    </w:p>
    <w:p w14:paraId="0AC3FD34" w14:textId="77777777" w:rsidR="00BC388A" w:rsidRDefault="00140473">
      <w:r>
        <w:t>Table 6 shows the summary of the compliance with the Essential and Important indicators of the Accessible area. Observations and explanations:</w:t>
      </w:r>
    </w:p>
    <w:p w14:paraId="1BD56C77" w14:textId="77777777" w:rsidR="00BC388A" w:rsidRDefault="00140473">
      <w:pPr>
        <w:numPr>
          <w:ilvl w:val="0"/>
          <w:numId w:val="6"/>
        </w:numPr>
        <w:spacing w:after="0"/>
      </w:pPr>
      <w:r>
        <w:t xml:space="preserve">GBIF, ENES, LOFAR, EMSO, </w:t>
      </w:r>
      <w:proofErr w:type="spellStart"/>
      <w:r>
        <w:t>SeaDataNet</w:t>
      </w:r>
      <w:proofErr w:type="spellEnd"/>
      <w:r>
        <w:t>, Disaster Mitigation and Agriculture are already 90-100% compliant with the indicators:</w:t>
      </w:r>
    </w:p>
    <w:p w14:paraId="65AECA06" w14:textId="77777777" w:rsidR="00BC388A" w:rsidRDefault="00140473">
      <w:pPr>
        <w:numPr>
          <w:ilvl w:val="1"/>
          <w:numId w:val="6"/>
        </w:numPr>
        <w:spacing w:after="0"/>
      </w:pPr>
      <w:r>
        <w:t>GBIF metadata contains information to enable users to get access to the data. The GBIF metadata is uniquely referenced with DOI, the Ecological Metadata Language standard protocol</w:t>
      </w:r>
      <w:r>
        <w:rPr>
          <w:vertAlign w:val="superscript"/>
        </w:rPr>
        <w:footnoteReference w:id="25"/>
      </w:r>
      <w:r>
        <w:t xml:space="preserve"> is used to expose the metadata in human readable format. GBIF data is uniquely identified via </w:t>
      </w:r>
      <w:proofErr w:type="spellStart"/>
      <w:r>
        <w:t>GBIF_id</w:t>
      </w:r>
      <w:proofErr w:type="spellEnd"/>
      <w:r>
        <w:t xml:space="preserve"> and can be accessed either using the Darwin Core standard</w:t>
      </w:r>
      <w:r>
        <w:rPr>
          <w:vertAlign w:val="superscript"/>
        </w:rPr>
        <w:footnoteReference w:id="26"/>
      </w:r>
      <w:r>
        <w:t xml:space="preserve"> and RESTful JSON APIs</w:t>
      </w:r>
      <w:r>
        <w:rPr>
          <w:vertAlign w:val="superscript"/>
        </w:rPr>
        <w:footnoteReference w:id="27"/>
      </w:r>
      <w:r>
        <w:t>.</w:t>
      </w:r>
    </w:p>
    <w:p w14:paraId="7D893C3D" w14:textId="77777777" w:rsidR="00BC388A" w:rsidRDefault="00140473">
      <w:pPr>
        <w:numPr>
          <w:ilvl w:val="1"/>
          <w:numId w:val="6"/>
        </w:numPr>
        <w:spacing w:after="0"/>
      </w:pPr>
      <w:r>
        <w:t xml:space="preserve">In the ENES Data Space, PIDs are not officially used to reference metadata however, PIDs assigned to dataset/file and APIs allow to get a metadata </w:t>
      </w:r>
      <w:r>
        <w:lastRenderedPageBreak/>
        <w:t xml:space="preserve">landing page and data hosts. Overall, the ENES data can be accessed either through a free access protocol (e.g.: HTTP, GridFTP, DAP), and other </w:t>
      </w:r>
      <w:proofErr w:type="spellStart"/>
      <w:r>
        <w:t>authN</w:t>
      </w:r>
      <w:proofErr w:type="spellEnd"/>
      <w:r>
        <w:t xml:space="preserve"> and </w:t>
      </w:r>
      <w:proofErr w:type="spellStart"/>
      <w:r>
        <w:t>AuthZ</w:t>
      </w:r>
      <w:proofErr w:type="spellEnd"/>
      <w:r>
        <w:t xml:space="preserve"> protocols. From a technical perspective, also the ENES Data Space is not fully compliant with these indicators (only 1 indicator is failing) but this will improve during the second half of the project.</w:t>
      </w:r>
    </w:p>
    <w:p w14:paraId="14D8FE3A" w14:textId="77777777" w:rsidR="00BC388A" w:rsidRDefault="00140473">
      <w:pPr>
        <w:numPr>
          <w:ilvl w:val="1"/>
          <w:numId w:val="6"/>
        </w:numPr>
        <w:spacing w:after="0"/>
      </w:pPr>
      <w:r>
        <w:t>In the LOFAR Data Space the metadata schema contains information to enable users to get access to the data using HTTP protocol. Also the data can be accessible with standard protocols provided by the SURF Data Repository.</w:t>
      </w:r>
    </w:p>
    <w:p w14:paraId="639DB988" w14:textId="77777777" w:rsidR="00BC388A" w:rsidRDefault="00140473">
      <w:pPr>
        <w:numPr>
          <w:ilvl w:val="1"/>
          <w:numId w:val="6"/>
        </w:numPr>
        <w:spacing w:after="0"/>
      </w:pPr>
      <w:r>
        <w:t>The EMSO ERIC Data Space partially relies on the metadata of the Regional facilities to get access to the data. One of the goals of the Data Space is to provide an harmonization of the different metadata. Metadata and datasets can be accessed via standard protocols and REST APIs. Currently the Data Space is only failing with one indicator. The level of compliance of this Data Space with the Accessible indicator will improve during the second part of the project.</w:t>
      </w:r>
    </w:p>
    <w:p w14:paraId="34E374AB" w14:textId="77777777" w:rsidR="00BC388A" w:rsidRDefault="00140473">
      <w:pPr>
        <w:numPr>
          <w:ilvl w:val="1"/>
          <w:numId w:val="6"/>
        </w:numPr>
        <w:spacing w:after="0"/>
      </w:pPr>
      <w:r>
        <w:t xml:space="preserve">In the Disaster Mitigation and Agriculture Data Space data and publications are accessible in open access (over research data management tools such as </w:t>
      </w:r>
      <w:proofErr w:type="spellStart"/>
      <w:r>
        <w:t>Zenodo</w:t>
      </w:r>
      <w:proofErr w:type="spellEnd"/>
      <w:r>
        <w:t xml:space="preserve"> or </w:t>
      </w:r>
      <w:proofErr w:type="spellStart"/>
      <w:r>
        <w:t>Depositar</w:t>
      </w:r>
      <w:proofErr w:type="spellEnd"/>
      <w:r>
        <w:t>) under the terms and conditions of the CCBY4.0 licence</w:t>
      </w:r>
      <w:r>
        <w:rPr>
          <w:vertAlign w:val="superscript"/>
        </w:rPr>
        <w:footnoteReference w:id="28"/>
      </w:r>
      <w:r>
        <w:t>.</w:t>
      </w:r>
    </w:p>
    <w:p w14:paraId="14FF8AEE" w14:textId="77777777" w:rsidR="00BC388A" w:rsidRDefault="00140473">
      <w:pPr>
        <w:numPr>
          <w:ilvl w:val="0"/>
          <w:numId w:val="6"/>
        </w:numPr>
      </w:pPr>
      <w:r>
        <w:t>useGalaxy.eu fails to meet 1 Essential (RDA-A1-03M) and 1 important indicator in this area (RDA-A1-01M).</w:t>
      </w:r>
    </w:p>
    <w:p w14:paraId="2A8198E4" w14:textId="77777777" w:rsidR="00BC388A" w:rsidRDefault="00BC388A">
      <w:pPr>
        <w:ind w:left="720"/>
      </w:pPr>
    </w:p>
    <w:p w14:paraId="48D320CB" w14:textId="77777777" w:rsidR="00BC388A" w:rsidRDefault="00140473">
      <w:pPr>
        <w:rPr>
          <w:sz w:val="20"/>
          <w:szCs w:val="20"/>
        </w:rPr>
      </w:pPr>
      <w:r>
        <w:rPr>
          <w:sz w:val="20"/>
          <w:szCs w:val="20"/>
        </w:rPr>
        <w:t>Table 6: The outcome of the “Accessible” indicators assessment.</w:t>
      </w:r>
    </w:p>
    <w:tbl>
      <w:tblPr>
        <w:tblStyle w:val="af0"/>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95"/>
        <w:gridCol w:w="1905"/>
        <w:gridCol w:w="1680"/>
      </w:tblGrid>
      <w:tr w:rsidR="00BC388A" w14:paraId="6358AE09" w14:textId="77777777">
        <w:tc>
          <w:tcPr>
            <w:tcW w:w="5595" w:type="dxa"/>
            <w:shd w:val="clear" w:color="auto" w:fill="C9DAF8"/>
            <w:tcMar>
              <w:top w:w="100" w:type="dxa"/>
              <w:left w:w="100" w:type="dxa"/>
              <w:bottom w:w="100" w:type="dxa"/>
              <w:right w:w="100" w:type="dxa"/>
            </w:tcMar>
          </w:tcPr>
          <w:p w14:paraId="669DEDE6" w14:textId="77777777" w:rsidR="00BC388A" w:rsidRDefault="00140473">
            <w:pPr>
              <w:widowControl w:val="0"/>
              <w:pBdr>
                <w:top w:val="nil"/>
                <w:left w:val="nil"/>
                <w:bottom w:val="nil"/>
                <w:right w:val="nil"/>
                <w:between w:val="nil"/>
              </w:pBdr>
              <w:spacing w:after="0" w:line="240" w:lineRule="auto"/>
              <w:jc w:val="left"/>
              <w:rPr>
                <w:b/>
              </w:rPr>
            </w:pPr>
            <w:r>
              <w:rPr>
                <w:b/>
              </w:rPr>
              <w:t>Accessible Indicators</w:t>
            </w:r>
          </w:p>
        </w:tc>
        <w:tc>
          <w:tcPr>
            <w:tcW w:w="1905" w:type="dxa"/>
            <w:shd w:val="clear" w:color="auto" w:fill="C9DAF8"/>
            <w:tcMar>
              <w:top w:w="100" w:type="dxa"/>
              <w:left w:w="100" w:type="dxa"/>
              <w:bottom w:w="100" w:type="dxa"/>
              <w:right w:w="100" w:type="dxa"/>
            </w:tcMar>
          </w:tcPr>
          <w:p w14:paraId="53BC8ECF" w14:textId="77777777" w:rsidR="00BC388A" w:rsidRDefault="00140473">
            <w:pPr>
              <w:widowControl w:val="0"/>
              <w:pBdr>
                <w:top w:val="nil"/>
                <w:left w:val="nil"/>
                <w:bottom w:val="nil"/>
                <w:right w:val="nil"/>
                <w:between w:val="nil"/>
              </w:pBdr>
              <w:spacing w:after="0" w:line="240" w:lineRule="auto"/>
              <w:jc w:val="left"/>
              <w:rPr>
                <w:b/>
              </w:rPr>
            </w:pPr>
            <w:r>
              <w:rPr>
                <w:b/>
              </w:rPr>
              <w:t>Data Space</w:t>
            </w:r>
          </w:p>
        </w:tc>
        <w:tc>
          <w:tcPr>
            <w:tcW w:w="1680" w:type="dxa"/>
            <w:shd w:val="clear" w:color="auto" w:fill="C9DAF8"/>
            <w:tcMar>
              <w:top w:w="100" w:type="dxa"/>
              <w:left w:w="100" w:type="dxa"/>
              <w:bottom w:w="100" w:type="dxa"/>
              <w:right w:w="100" w:type="dxa"/>
            </w:tcMar>
          </w:tcPr>
          <w:p w14:paraId="03BF7784" w14:textId="77777777" w:rsidR="00BC388A" w:rsidRDefault="00140473">
            <w:pPr>
              <w:widowControl w:val="0"/>
              <w:pBdr>
                <w:top w:val="nil"/>
                <w:left w:val="nil"/>
                <w:bottom w:val="nil"/>
                <w:right w:val="nil"/>
                <w:between w:val="nil"/>
              </w:pBdr>
              <w:spacing w:after="0" w:line="240" w:lineRule="auto"/>
              <w:jc w:val="left"/>
              <w:rPr>
                <w:b/>
              </w:rPr>
            </w:pPr>
            <w:r>
              <w:rPr>
                <w:b/>
              </w:rPr>
              <w:t>% of Essential and Important indicators satisfied</w:t>
            </w:r>
          </w:p>
        </w:tc>
      </w:tr>
      <w:tr w:rsidR="00BC388A" w14:paraId="4C8571C5" w14:textId="77777777">
        <w:trPr>
          <w:trHeight w:val="1125"/>
        </w:trPr>
        <w:tc>
          <w:tcPr>
            <w:tcW w:w="5595" w:type="dxa"/>
            <w:vMerge w:val="restart"/>
          </w:tcPr>
          <w:p w14:paraId="5C197A1E" w14:textId="77777777" w:rsidR="00BC388A" w:rsidRDefault="00140473">
            <w:pPr>
              <w:widowControl w:val="0"/>
              <w:spacing w:after="0" w:line="240" w:lineRule="auto"/>
              <w:jc w:val="left"/>
              <w:rPr>
                <w:sz w:val="20"/>
                <w:szCs w:val="20"/>
              </w:rPr>
            </w:pPr>
            <w:r>
              <w:rPr>
                <w:b/>
                <w:color w:val="FF9900"/>
                <w:sz w:val="20"/>
                <w:szCs w:val="20"/>
              </w:rPr>
              <w:t>RDA-A1-01M</w:t>
            </w:r>
            <w:r>
              <w:rPr>
                <w:sz w:val="20"/>
                <w:szCs w:val="20"/>
              </w:rPr>
              <w:t xml:space="preserve"> Metadata contains information to enable the user to get access to the data</w:t>
            </w:r>
            <w:r>
              <w:rPr>
                <w:sz w:val="20"/>
                <w:szCs w:val="20"/>
              </w:rPr>
              <w:br/>
            </w:r>
          </w:p>
          <w:p w14:paraId="586EAB7C" w14:textId="77777777" w:rsidR="00BC388A" w:rsidRDefault="00140473">
            <w:pPr>
              <w:widowControl w:val="0"/>
              <w:spacing w:after="0" w:line="240" w:lineRule="auto"/>
              <w:jc w:val="left"/>
              <w:rPr>
                <w:sz w:val="20"/>
                <w:szCs w:val="20"/>
              </w:rPr>
            </w:pPr>
            <w:r>
              <w:rPr>
                <w:b/>
                <w:color w:val="FF0000"/>
                <w:sz w:val="20"/>
                <w:szCs w:val="20"/>
              </w:rPr>
              <w:t>RDA-A1-02M</w:t>
            </w:r>
            <w:r>
              <w:rPr>
                <w:sz w:val="20"/>
                <w:szCs w:val="20"/>
              </w:rPr>
              <w:t xml:space="preserve"> Metadata can be accessed manually (i.e. with human intervention)</w:t>
            </w:r>
          </w:p>
          <w:p w14:paraId="28B5A50A" w14:textId="77777777" w:rsidR="00BC388A" w:rsidRDefault="00140473">
            <w:pPr>
              <w:widowControl w:val="0"/>
              <w:spacing w:after="0" w:line="240" w:lineRule="auto"/>
              <w:jc w:val="left"/>
              <w:rPr>
                <w:sz w:val="20"/>
                <w:szCs w:val="20"/>
              </w:rPr>
            </w:pPr>
            <w:r>
              <w:rPr>
                <w:sz w:val="20"/>
                <w:szCs w:val="20"/>
              </w:rPr>
              <w:br/>
            </w:r>
            <w:r>
              <w:rPr>
                <w:b/>
                <w:color w:val="FF0000"/>
                <w:sz w:val="20"/>
                <w:szCs w:val="20"/>
              </w:rPr>
              <w:t>RDA-A1-02D</w:t>
            </w:r>
            <w:r>
              <w:rPr>
                <w:sz w:val="20"/>
                <w:szCs w:val="20"/>
              </w:rPr>
              <w:t xml:space="preserve"> Data can be accessed manually (i.e. with human intervention)</w:t>
            </w:r>
          </w:p>
          <w:p w14:paraId="5B89472C" w14:textId="77777777" w:rsidR="00BC388A" w:rsidRDefault="00140473">
            <w:pPr>
              <w:widowControl w:val="0"/>
              <w:spacing w:after="0" w:line="240" w:lineRule="auto"/>
              <w:jc w:val="left"/>
              <w:rPr>
                <w:sz w:val="20"/>
                <w:szCs w:val="20"/>
              </w:rPr>
            </w:pPr>
            <w:r>
              <w:rPr>
                <w:sz w:val="20"/>
                <w:szCs w:val="20"/>
              </w:rPr>
              <w:br/>
            </w:r>
            <w:r>
              <w:rPr>
                <w:b/>
                <w:color w:val="FF0000"/>
                <w:sz w:val="20"/>
                <w:szCs w:val="20"/>
              </w:rPr>
              <w:t>RDA-A1-03M</w:t>
            </w:r>
            <w:r>
              <w:rPr>
                <w:sz w:val="20"/>
                <w:szCs w:val="20"/>
              </w:rPr>
              <w:t xml:space="preserve"> Metadata identifier resolves to a metadata record</w:t>
            </w:r>
          </w:p>
          <w:p w14:paraId="3C7C5B52" w14:textId="77777777" w:rsidR="00BC388A" w:rsidRDefault="00140473">
            <w:pPr>
              <w:widowControl w:val="0"/>
              <w:spacing w:after="0" w:line="240" w:lineRule="auto"/>
              <w:jc w:val="left"/>
              <w:rPr>
                <w:sz w:val="20"/>
                <w:szCs w:val="20"/>
              </w:rPr>
            </w:pPr>
            <w:r>
              <w:rPr>
                <w:sz w:val="20"/>
                <w:szCs w:val="20"/>
              </w:rPr>
              <w:br/>
            </w:r>
            <w:r>
              <w:rPr>
                <w:b/>
                <w:color w:val="FF0000"/>
                <w:sz w:val="20"/>
                <w:szCs w:val="20"/>
              </w:rPr>
              <w:t>RDA-A1-03D</w:t>
            </w:r>
            <w:r>
              <w:rPr>
                <w:sz w:val="20"/>
                <w:szCs w:val="20"/>
              </w:rPr>
              <w:t xml:space="preserve"> Data identifier resolves to a digital object</w:t>
            </w:r>
          </w:p>
          <w:p w14:paraId="09C827B1" w14:textId="77777777" w:rsidR="00BC388A" w:rsidRDefault="00140473">
            <w:pPr>
              <w:widowControl w:val="0"/>
              <w:spacing w:after="0" w:line="240" w:lineRule="auto"/>
              <w:jc w:val="left"/>
              <w:rPr>
                <w:sz w:val="20"/>
                <w:szCs w:val="20"/>
              </w:rPr>
            </w:pPr>
            <w:r>
              <w:rPr>
                <w:sz w:val="20"/>
                <w:szCs w:val="20"/>
              </w:rPr>
              <w:br/>
            </w:r>
            <w:r>
              <w:rPr>
                <w:b/>
                <w:color w:val="FF0000"/>
                <w:sz w:val="20"/>
                <w:szCs w:val="20"/>
              </w:rPr>
              <w:t>RDA-A1-04M</w:t>
            </w:r>
            <w:r>
              <w:rPr>
                <w:sz w:val="20"/>
                <w:szCs w:val="20"/>
              </w:rPr>
              <w:t xml:space="preserve"> Metadata is accessed through standardised protocol</w:t>
            </w:r>
          </w:p>
          <w:p w14:paraId="5EA76F0A" w14:textId="77777777" w:rsidR="00BC388A" w:rsidRDefault="00140473">
            <w:pPr>
              <w:widowControl w:val="0"/>
              <w:spacing w:after="0" w:line="240" w:lineRule="auto"/>
              <w:jc w:val="left"/>
              <w:rPr>
                <w:sz w:val="20"/>
                <w:szCs w:val="20"/>
              </w:rPr>
            </w:pPr>
            <w:r>
              <w:rPr>
                <w:sz w:val="20"/>
                <w:szCs w:val="20"/>
              </w:rPr>
              <w:lastRenderedPageBreak/>
              <w:br/>
            </w:r>
            <w:r>
              <w:rPr>
                <w:b/>
                <w:color w:val="FF0000"/>
                <w:sz w:val="20"/>
                <w:szCs w:val="20"/>
              </w:rPr>
              <w:t>RDA-A1-04D</w:t>
            </w:r>
            <w:r>
              <w:rPr>
                <w:sz w:val="20"/>
                <w:szCs w:val="20"/>
              </w:rPr>
              <w:t xml:space="preserve"> Data is accessible through standardised protocol</w:t>
            </w:r>
          </w:p>
          <w:p w14:paraId="585BC63F" w14:textId="77777777" w:rsidR="00BC388A" w:rsidRDefault="00140473">
            <w:pPr>
              <w:widowControl w:val="0"/>
              <w:spacing w:after="0" w:line="240" w:lineRule="auto"/>
              <w:jc w:val="left"/>
              <w:rPr>
                <w:sz w:val="20"/>
                <w:szCs w:val="20"/>
              </w:rPr>
            </w:pPr>
            <w:r>
              <w:rPr>
                <w:sz w:val="20"/>
                <w:szCs w:val="20"/>
              </w:rPr>
              <w:br/>
            </w:r>
            <w:r>
              <w:rPr>
                <w:b/>
                <w:color w:val="FF9900"/>
                <w:sz w:val="20"/>
                <w:szCs w:val="20"/>
              </w:rPr>
              <w:t>RDA-A1-05D</w:t>
            </w:r>
            <w:r>
              <w:rPr>
                <w:sz w:val="20"/>
                <w:szCs w:val="20"/>
              </w:rPr>
              <w:t xml:space="preserve"> Data can be accessed automatically (i.e. by a computer program)</w:t>
            </w:r>
          </w:p>
          <w:p w14:paraId="53D14324" w14:textId="77777777" w:rsidR="00BC388A" w:rsidRDefault="00140473">
            <w:pPr>
              <w:widowControl w:val="0"/>
              <w:spacing w:after="0" w:line="240" w:lineRule="auto"/>
              <w:jc w:val="left"/>
              <w:rPr>
                <w:sz w:val="20"/>
                <w:szCs w:val="20"/>
              </w:rPr>
            </w:pPr>
            <w:r>
              <w:rPr>
                <w:sz w:val="20"/>
                <w:szCs w:val="20"/>
              </w:rPr>
              <w:br/>
            </w:r>
            <w:r>
              <w:rPr>
                <w:b/>
                <w:color w:val="FF0000"/>
                <w:sz w:val="20"/>
                <w:szCs w:val="20"/>
              </w:rPr>
              <w:t>RDA-A1.1-01M</w:t>
            </w:r>
            <w:r>
              <w:rPr>
                <w:sz w:val="20"/>
                <w:szCs w:val="20"/>
              </w:rPr>
              <w:t xml:space="preserve"> Metadata is accessible through a free access protocol</w:t>
            </w:r>
          </w:p>
          <w:p w14:paraId="1E099745" w14:textId="77777777" w:rsidR="00BC388A" w:rsidRDefault="00140473">
            <w:pPr>
              <w:widowControl w:val="0"/>
              <w:spacing w:after="0" w:line="240" w:lineRule="auto"/>
              <w:jc w:val="left"/>
              <w:rPr>
                <w:sz w:val="20"/>
                <w:szCs w:val="20"/>
              </w:rPr>
            </w:pPr>
            <w:r>
              <w:rPr>
                <w:sz w:val="20"/>
                <w:szCs w:val="20"/>
              </w:rPr>
              <w:br/>
            </w:r>
            <w:r>
              <w:rPr>
                <w:b/>
                <w:color w:val="FF9900"/>
                <w:sz w:val="20"/>
                <w:szCs w:val="20"/>
              </w:rPr>
              <w:t>RDA-A1.1-01D</w:t>
            </w:r>
            <w:r>
              <w:rPr>
                <w:sz w:val="20"/>
                <w:szCs w:val="20"/>
              </w:rPr>
              <w:t xml:space="preserve"> Data is accessible through a free access protocol</w:t>
            </w:r>
          </w:p>
          <w:p w14:paraId="70FCE7B6" w14:textId="77777777" w:rsidR="00BC388A" w:rsidRDefault="00140473">
            <w:pPr>
              <w:widowControl w:val="0"/>
              <w:spacing w:after="0" w:line="240" w:lineRule="auto"/>
              <w:jc w:val="left"/>
              <w:rPr>
                <w:sz w:val="20"/>
                <w:szCs w:val="20"/>
              </w:rPr>
            </w:pPr>
            <w:r>
              <w:rPr>
                <w:sz w:val="20"/>
                <w:szCs w:val="20"/>
              </w:rPr>
              <w:br/>
            </w:r>
            <w:r>
              <w:rPr>
                <w:b/>
                <w:color w:val="0000FF"/>
                <w:sz w:val="20"/>
                <w:szCs w:val="20"/>
              </w:rPr>
              <w:t>RDA-A1.2-01D</w:t>
            </w:r>
            <w:r>
              <w:rPr>
                <w:sz w:val="20"/>
                <w:szCs w:val="20"/>
              </w:rPr>
              <w:t xml:space="preserve"> Data is accessible through an access protocol that supports authentication and authorisation</w:t>
            </w:r>
          </w:p>
          <w:p w14:paraId="3152336B" w14:textId="77777777" w:rsidR="00BC388A" w:rsidRDefault="00140473">
            <w:pPr>
              <w:widowControl w:val="0"/>
              <w:spacing w:after="0" w:line="240" w:lineRule="auto"/>
              <w:jc w:val="left"/>
              <w:rPr>
                <w:sz w:val="20"/>
                <w:szCs w:val="20"/>
              </w:rPr>
            </w:pPr>
            <w:r>
              <w:rPr>
                <w:sz w:val="20"/>
                <w:szCs w:val="20"/>
              </w:rPr>
              <w:br/>
            </w:r>
            <w:r>
              <w:rPr>
                <w:b/>
                <w:color w:val="FF0000"/>
                <w:sz w:val="20"/>
                <w:szCs w:val="20"/>
              </w:rPr>
              <w:t>RDA-A2-01M</w:t>
            </w:r>
            <w:r>
              <w:rPr>
                <w:sz w:val="20"/>
                <w:szCs w:val="20"/>
              </w:rPr>
              <w:t xml:space="preserve"> Metadata is guaranteed to remain available after data is no longer available</w:t>
            </w:r>
          </w:p>
        </w:tc>
        <w:tc>
          <w:tcPr>
            <w:tcW w:w="1905" w:type="dxa"/>
            <w:shd w:val="clear" w:color="auto" w:fill="FF9900"/>
            <w:tcMar>
              <w:top w:w="100" w:type="dxa"/>
              <w:left w:w="100" w:type="dxa"/>
              <w:bottom w:w="100" w:type="dxa"/>
              <w:right w:w="100" w:type="dxa"/>
            </w:tcMar>
          </w:tcPr>
          <w:p w14:paraId="398B64EA" w14:textId="77777777" w:rsidR="00BC388A" w:rsidRDefault="00140473">
            <w:pPr>
              <w:widowControl w:val="0"/>
              <w:spacing w:after="0" w:line="240" w:lineRule="auto"/>
              <w:jc w:val="left"/>
              <w:rPr>
                <w:b/>
              </w:rPr>
            </w:pPr>
            <w:r>
              <w:rPr>
                <w:b/>
              </w:rPr>
              <w:lastRenderedPageBreak/>
              <w:t>useGalaxy.eu</w:t>
            </w:r>
          </w:p>
        </w:tc>
        <w:tc>
          <w:tcPr>
            <w:tcW w:w="1680" w:type="dxa"/>
            <w:shd w:val="clear" w:color="auto" w:fill="FF9900"/>
            <w:tcMar>
              <w:top w:w="100" w:type="dxa"/>
              <w:left w:w="100" w:type="dxa"/>
              <w:bottom w:w="100" w:type="dxa"/>
              <w:right w:w="100" w:type="dxa"/>
            </w:tcMar>
          </w:tcPr>
          <w:p w14:paraId="33AB4511" w14:textId="77777777" w:rsidR="00BC388A" w:rsidRDefault="00140473">
            <w:pPr>
              <w:widowControl w:val="0"/>
              <w:pBdr>
                <w:top w:val="nil"/>
                <w:left w:val="nil"/>
                <w:bottom w:val="nil"/>
                <w:right w:val="nil"/>
                <w:between w:val="nil"/>
              </w:pBdr>
              <w:spacing w:after="0" w:line="240" w:lineRule="auto"/>
              <w:jc w:val="left"/>
              <w:rPr>
                <w:b/>
              </w:rPr>
            </w:pPr>
            <w:r>
              <w:rPr>
                <w:b/>
              </w:rPr>
              <w:t>82%</w:t>
            </w:r>
          </w:p>
        </w:tc>
      </w:tr>
      <w:tr w:rsidR="00BC388A" w14:paraId="3EB23122" w14:textId="77777777">
        <w:trPr>
          <w:trHeight w:val="1065"/>
        </w:trPr>
        <w:tc>
          <w:tcPr>
            <w:tcW w:w="5595" w:type="dxa"/>
            <w:vMerge/>
            <w:shd w:val="clear" w:color="auto" w:fill="auto"/>
            <w:tcMar>
              <w:top w:w="100" w:type="dxa"/>
              <w:left w:w="100" w:type="dxa"/>
              <w:bottom w:w="100" w:type="dxa"/>
              <w:right w:w="100" w:type="dxa"/>
            </w:tcMar>
          </w:tcPr>
          <w:p w14:paraId="366A6F2E" w14:textId="77777777" w:rsidR="00BC388A" w:rsidRDefault="00BC388A">
            <w:pPr>
              <w:widowControl w:val="0"/>
              <w:pBdr>
                <w:top w:val="nil"/>
                <w:left w:val="nil"/>
                <w:bottom w:val="nil"/>
                <w:right w:val="nil"/>
                <w:between w:val="nil"/>
              </w:pBdr>
              <w:spacing w:after="0" w:line="240" w:lineRule="auto"/>
              <w:jc w:val="left"/>
            </w:pPr>
          </w:p>
        </w:tc>
        <w:tc>
          <w:tcPr>
            <w:tcW w:w="1905" w:type="dxa"/>
            <w:shd w:val="clear" w:color="auto" w:fill="93C47D"/>
            <w:tcMar>
              <w:top w:w="100" w:type="dxa"/>
              <w:left w:w="100" w:type="dxa"/>
              <w:bottom w:w="100" w:type="dxa"/>
              <w:right w:w="100" w:type="dxa"/>
            </w:tcMar>
          </w:tcPr>
          <w:p w14:paraId="2C37FEAB" w14:textId="77777777" w:rsidR="00BC388A" w:rsidRDefault="00140473">
            <w:pPr>
              <w:widowControl w:val="0"/>
              <w:spacing w:after="0" w:line="240" w:lineRule="auto"/>
              <w:jc w:val="left"/>
              <w:rPr>
                <w:b/>
              </w:rPr>
            </w:pPr>
            <w:r>
              <w:rPr>
                <w:b/>
              </w:rPr>
              <w:t>GBIF</w:t>
            </w:r>
          </w:p>
        </w:tc>
        <w:tc>
          <w:tcPr>
            <w:tcW w:w="1680" w:type="dxa"/>
            <w:shd w:val="clear" w:color="auto" w:fill="93C47D"/>
            <w:tcMar>
              <w:top w:w="100" w:type="dxa"/>
              <w:left w:w="100" w:type="dxa"/>
              <w:bottom w:w="100" w:type="dxa"/>
              <w:right w:w="100" w:type="dxa"/>
            </w:tcMar>
          </w:tcPr>
          <w:p w14:paraId="7B31C07B" w14:textId="77777777" w:rsidR="00BC388A" w:rsidRDefault="00140473">
            <w:pPr>
              <w:widowControl w:val="0"/>
              <w:pBdr>
                <w:top w:val="nil"/>
                <w:left w:val="nil"/>
                <w:bottom w:val="nil"/>
                <w:right w:val="nil"/>
                <w:between w:val="nil"/>
              </w:pBdr>
              <w:spacing w:after="0" w:line="240" w:lineRule="auto"/>
              <w:jc w:val="left"/>
              <w:rPr>
                <w:b/>
              </w:rPr>
            </w:pPr>
            <w:r>
              <w:rPr>
                <w:b/>
              </w:rPr>
              <w:t>100%</w:t>
            </w:r>
          </w:p>
        </w:tc>
      </w:tr>
      <w:tr w:rsidR="00BC388A" w14:paraId="60AF785E" w14:textId="77777777">
        <w:trPr>
          <w:trHeight w:val="1065"/>
        </w:trPr>
        <w:tc>
          <w:tcPr>
            <w:tcW w:w="5595" w:type="dxa"/>
            <w:vMerge/>
            <w:shd w:val="clear" w:color="auto" w:fill="auto"/>
            <w:tcMar>
              <w:top w:w="100" w:type="dxa"/>
              <w:left w:w="100" w:type="dxa"/>
              <w:bottom w:w="100" w:type="dxa"/>
              <w:right w:w="100" w:type="dxa"/>
            </w:tcMar>
          </w:tcPr>
          <w:p w14:paraId="5513C855" w14:textId="77777777" w:rsidR="00BC388A" w:rsidRDefault="00BC388A">
            <w:pPr>
              <w:widowControl w:val="0"/>
              <w:pBdr>
                <w:top w:val="nil"/>
                <w:left w:val="nil"/>
                <w:bottom w:val="nil"/>
                <w:right w:val="nil"/>
                <w:between w:val="nil"/>
              </w:pBdr>
              <w:spacing w:after="0" w:line="240" w:lineRule="auto"/>
              <w:jc w:val="left"/>
            </w:pPr>
          </w:p>
        </w:tc>
        <w:tc>
          <w:tcPr>
            <w:tcW w:w="1905" w:type="dxa"/>
            <w:shd w:val="clear" w:color="auto" w:fill="93C47D"/>
            <w:tcMar>
              <w:top w:w="100" w:type="dxa"/>
              <w:left w:w="100" w:type="dxa"/>
              <w:bottom w:w="100" w:type="dxa"/>
              <w:right w:w="100" w:type="dxa"/>
            </w:tcMar>
          </w:tcPr>
          <w:p w14:paraId="72F93CB1" w14:textId="77777777" w:rsidR="00BC388A" w:rsidRDefault="00140473">
            <w:pPr>
              <w:widowControl w:val="0"/>
              <w:spacing w:after="0" w:line="240" w:lineRule="auto"/>
              <w:jc w:val="left"/>
              <w:rPr>
                <w:b/>
              </w:rPr>
            </w:pPr>
            <w:r>
              <w:rPr>
                <w:b/>
              </w:rPr>
              <w:t>ENES</w:t>
            </w:r>
          </w:p>
        </w:tc>
        <w:tc>
          <w:tcPr>
            <w:tcW w:w="1680" w:type="dxa"/>
            <w:shd w:val="clear" w:color="auto" w:fill="93C47D"/>
            <w:tcMar>
              <w:top w:w="100" w:type="dxa"/>
              <w:left w:w="100" w:type="dxa"/>
              <w:bottom w:w="100" w:type="dxa"/>
              <w:right w:w="100" w:type="dxa"/>
            </w:tcMar>
          </w:tcPr>
          <w:p w14:paraId="5E9A4E01" w14:textId="77777777" w:rsidR="00BC388A" w:rsidRDefault="00140473">
            <w:pPr>
              <w:widowControl w:val="0"/>
              <w:pBdr>
                <w:top w:val="nil"/>
                <w:left w:val="nil"/>
                <w:bottom w:val="nil"/>
                <w:right w:val="nil"/>
                <w:between w:val="nil"/>
              </w:pBdr>
              <w:spacing w:after="0" w:line="240" w:lineRule="auto"/>
              <w:jc w:val="left"/>
              <w:rPr>
                <w:b/>
              </w:rPr>
            </w:pPr>
            <w:r>
              <w:rPr>
                <w:b/>
              </w:rPr>
              <w:t>91%</w:t>
            </w:r>
          </w:p>
        </w:tc>
      </w:tr>
      <w:tr w:rsidR="00BC388A" w14:paraId="2A283B6A" w14:textId="77777777">
        <w:trPr>
          <w:trHeight w:val="1035"/>
        </w:trPr>
        <w:tc>
          <w:tcPr>
            <w:tcW w:w="5595" w:type="dxa"/>
            <w:vMerge/>
            <w:shd w:val="clear" w:color="auto" w:fill="auto"/>
            <w:tcMar>
              <w:top w:w="100" w:type="dxa"/>
              <w:left w:w="100" w:type="dxa"/>
              <w:bottom w:w="100" w:type="dxa"/>
              <w:right w:w="100" w:type="dxa"/>
            </w:tcMar>
          </w:tcPr>
          <w:p w14:paraId="46A99F97" w14:textId="77777777" w:rsidR="00BC388A" w:rsidRDefault="00BC388A">
            <w:pPr>
              <w:widowControl w:val="0"/>
              <w:pBdr>
                <w:top w:val="nil"/>
                <w:left w:val="nil"/>
                <w:bottom w:val="nil"/>
                <w:right w:val="nil"/>
                <w:between w:val="nil"/>
              </w:pBdr>
              <w:spacing w:after="0" w:line="240" w:lineRule="auto"/>
              <w:jc w:val="left"/>
            </w:pPr>
          </w:p>
        </w:tc>
        <w:tc>
          <w:tcPr>
            <w:tcW w:w="1905" w:type="dxa"/>
            <w:shd w:val="clear" w:color="auto" w:fill="93C47D"/>
            <w:tcMar>
              <w:top w:w="100" w:type="dxa"/>
              <w:left w:w="100" w:type="dxa"/>
              <w:bottom w:w="100" w:type="dxa"/>
              <w:right w:w="100" w:type="dxa"/>
            </w:tcMar>
          </w:tcPr>
          <w:p w14:paraId="745C3DD7" w14:textId="77777777" w:rsidR="00BC388A" w:rsidRDefault="00140473">
            <w:pPr>
              <w:widowControl w:val="0"/>
              <w:spacing w:after="0" w:line="240" w:lineRule="auto"/>
              <w:jc w:val="left"/>
              <w:rPr>
                <w:b/>
              </w:rPr>
            </w:pPr>
            <w:r>
              <w:rPr>
                <w:b/>
              </w:rPr>
              <w:t>LOFAR Science Project</w:t>
            </w:r>
          </w:p>
        </w:tc>
        <w:tc>
          <w:tcPr>
            <w:tcW w:w="1680" w:type="dxa"/>
            <w:shd w:val="clear" w:color="auto" w:fill="93C47D"/>
            <w:tcMar>
              <w:top w:w="100" w:type="dxa"/>
              <w:left w:w="100" w:type="dxa"/>
              <w:bottom w:w="100" w:type="dxa"/>
              <w:right w:w="100" w:type="dxa"/>
            </w:tcMar>
          </w:tcPr>
          <w:p w14:paraId="11BD6715" w14:textId="77777777" w:rsidR="00BC388A" w:rsidRDefault="00140473">
            <w:pPr>
              <w:widowControl w:val="0"/>
              <w:pBdr>
                <w:top w:val="nil"/>
                <w:left w:val="nil"/>
                <w:bottom w:val="nil"/>
                <w:right w:val="nil"/>
                <w:between w:val="nil"/>
              </w:pBdr>
              <w:spacing w:after="0" w:line="240" w:lineRule="auto"/>
              <w:jc w:val="left"/>
              <w:rPr>
                <w:b/>
              </w:rPr>
            </w:pPr>
            <w:r>
              <w:rPr>
                <w:b/>
              </w:rPr>
              <w:t>100%</w:t>
            </w:r>
          </w:p>
        </w:tc>
      </w:tr>
      <w:tr w:rsidR="00BC388A" w14:paraId="56992EF0" w14:textId="77777777">
        <w:trPr>
          <w:trHeight w:val="990"/>
        </w:trPr>
        <w:tc>
          <w:tcPr>
            <w:tcW w:w="5595" w:type="dxa"/>
            <w:vMerge/>
            <w:shd w:val="clear" w:color="auto" w:fill="auto"/>
            <w:tcMar>
              <w:top w:w="100" w:type="dxa"/>
              <w:left w:w="100" w:type="dxa"/>
              <w:bottom w:w="100" w:type="dxa"/>
              <w:right w:w="100" w:type="dxa"/>
            </w:tcMar>
          </w:tcPr>
          <w:p w14:paraId="647C207B" w14:textId="77777777" w:rsidR="00BC388A" w:rsidRDefault="00BC388A">
            <w:pPr>
              <w:widowControl w:val="0"/>
              <w:pBdr>
                <w:top w:val="nil"/>
                <w:left w:val="nil"/>
                <w:bottom w:val="nil"/>
                <w:right w:val="nil"/>
                <w:between w:val="nil"/>
              </w:pBdr>
              <w:spacing w:after="0" w:line="240" w:lineRule="auto"/>
              <w:jc w:val="left"/>
            </w:pPr>
          </w:p>
        </w:tc>
        <w:tc>
          <w:tcPr>
            <w:tcW w:w="1905" w:type="dxa"/>
            <w:shd w:val="clear" w:color="auto" w:fill="93C47D"/>
            <w:tcMar>
              <w:top w:w="100" w:type="dxa"/>
              <w:left w:w="100" w:type="dxa"/>
              <w:bottom w:w="100" w:type="dxa"/>
              <w:right w:w="100" w:type="dxa"/>
            </w:tcMar>
          </w:tcPr>
          <w:p w14:paraId="08F6F9C3" w14:textId="77777777" w:rsidR="00BC388A" w:rsidRDefault="00140473">
            <w:pPr>
              <w:widowControl w:val="0"/>
              <w:spacing w:after="0" w:line="240" w:lineRule="auto"/>
              <w:jc w:val="left"/>
              <w:rPr>
                <w:b/>
              </w:rPr>
            </w:pPr>
            <w:r>
              <w:rPr>
                <w:b/>
              </w:rPr>
              <w:t>EMSO ERIC</w:t>
            </w:r>
          </w:p>
        </w:tc>
        <w:tc>
          <w:tcPr>
            <w:tcW w:w="1680" w:type="dxa"/>
            <w:shd w:val="clear" w:color="auto" w:fill="93C47D"/>
            <w:tcMar>
              <w:top w:w="100" w:type="dxa"/>
              <w:left w:w="100" w:type="dxa"/>
              <w:bottom w:w="100" w:type="dxa"/>
              <w:right w:w="100" w:type="dxa"/>
            </w:tcMar>
          </w:tcPr>
          <w:p w14:paraId="05D8509C" w14:textId="77777777" w:rsidR="00BC388A" w:rsidRDefault="00140473">
            <w:pPr>
              <w:widowControl w:val="0"/>
              <w:pBdr>
                <w:top w:val="nil"/>
                <w:left w:val="nil"/>
                <w:bottom w:val="nil"/>
                <w:right w:val="nil"/>
                <w:between w:val="nil"/>
              </w:pBdr>
              <w:spacing w:after="0" w:line="240" w:lineRule="auto"/>
              <w:jc w:val="left"/>
              <w:rPr>
                <w:b/>
              </w:rPr>
            </w:pPr>
            <w:r>
              <w:rPr>
                <w:b/>
              </w:rPr>
              <w:t>91%</w:t>
            </w:r>
          </w:p>
        </w:tc>
      </w:tr>
      <w:tr w:rsidR="00BC388A" w14:paraId="531F40DB" w14:textId="77777777">
        <w:trPr>
          <w:trHeight w:val="1095"/>
        </w:trPr>
        <w:tc>
          <w:tcPr>
            <w:tcW w:w="5595" w:type="dxa"/>
            <w:vMerge/>
            <w:shd w:val="clear" w:color="auto" w:fill="auto"/>
            <w:tcMar>
              <w:top w:w="100" w:type="dxa"/>
              <w:left w:w="100" w:type="dxa"/>
              <w:bottom w:w="100" w:type="dxa"/>
              <w:right w:w="100" w:type="dxa"/>
            </w:tcMar>
          </w:tcPr>
          <w:p w14:paraId="4DAA84DA" w14:textId="77777777" w:rsidR="00BC388A" w:rsidRDefault="00BC388A">
            <w:pPr>
              <w:widowControl w:val="0"/>
              <w:pBdr>
                <w:top w:val="nil"/>
                <w:left w:val="nil"/>
                <w:bottom w:val="nil"/>
                <w:right w:val="nil"/>
                <w:between w:val="nil"/>
              </w:pBdr>
              <w:spacing w:after="0" w:line="240" w:lineRule="auto"/>
              <w:jc w:val="left"/>
            </w:pPr>
          </w:p>
        </w:tc>
        <w:tc>
          <w:tcPr>
            <w:tcW w:w="1905" w:type="dxa"/>
            <w:shd w:val="clear" w:color="auto" w:fill="93C47D"/>
            <w:tcMar>
              <w:top w:w="100" w:type="dxa"/>
              <w:left w:w="100" w:type="dxa"/>
              <w:bottom w:w="100" w:type="dxa"/>
              <w:right w:w="100" w:type="dxa"/>
            </w:tcMar>
          </w:tcPr>
          <w:p w14:paraId="21B78CF8" w14:textId="77777777" w:rsidR="00BC388A" w:rsidRDefault="00140473">
            <w:pPr>
              <w:widowControl w:val="0"/>
              <w:spacing w:after="0" w:line="240" w:lineRule="auto"/>
              <w:jc w:val="left"/>
              <w:rPr>
                <w:b/>
              </w:rPr>
            </w:pPr>
            <w:proofErr w:type="spellStart"/>
            <w:r>
              <w:rPr>
                <w:b/>
              </w:rPr>
              <w:t>SeaDataNet</w:t>
            </w:r>
            <w:proofErr w:type="spellEnd"/>
          </w:p>
        </w:tc>
        <w:tc>
          <w:tcPr>
            <w:tcW w:w="1680" w:type="dxa"/>
            <w:shd w:val="clear" w:color="auto" w:fill="93C47D"/>
            <w:tcMar>
              <w:top w:w="100" w:type="dxa"/>
              <w:left w:w="100" w:type="dxa"/>
              <w:bottom w:w="100" w:type="dxa"/>
              <w:right w:w="100" w:type="dxa"/>
            </w:tcMar>
          </w:tcPr>
          <w:p w14:paraId="19A7BD8B" w14:textId="77777777" w:rsidR="00BC388A" w:rsidRDefault="00140473">
            <w:pPr>
              <w:widowControl w:val="0"/>
              <w:pBdr>
                <w:top w:val="nil"/>
                <w:left w:val="nil"/>
                <w:bottom w:val="nil"/>
                <w:right w:val="nil"/>
                <w:between w:val="nil"/>
              </w:pBdr>
              <w:spacing w:after="0" w:line="240" w:lineRule="auto"/>
              <w:jc w:val="left"/>
              <w:rPr>
                <w:b/>
              </w:rPr>
            </w:pPr>
            <w:r>
              <w:rPr>
                <w:b/>
              </w:rPr>
              <w:t>100%</w:t>
            </w:r>
          </w:p>
        </w:tc>
      </w:tr>
      <w:tr w:rsidR="00BC388A" w14:paraId="7A54B314" w14:textId="77777777">
        <w:trPr>
          <w:trHeight w:val="255"/>
        </w:trPr>
        <w:tc>
          <w:tcPr>
            <w:tcW w:w="5595" w:type="dxa"/>
            <w:vMerge/>
            <w:shd w:val="clear" w:color="auto" w:fill="auto"/>
            <w:tcMar>
              <w:top w:w="100" w:type="dxa"/>
              <w:left w:w="100" w:type="dxa"/>
              <w:bottom w:w="100" w:type="dxa"/>
              <w:right w:w="100" w:type="dxa"/>
            </w:tcMar>
          </w:tcPr>
          <w:p w14:paraId="7107F6B6" w14:textId="77777777" w:rsidR="00BC388A" w:rsidRDefault="00BC388A">
            <w:pPr>
              <w:widowControl w:val="0"/>
              <w:pBdr>
                <w:top w:val="nil"/>
                <w:left w:val="nil"/>
                <w:bottom w:val="nil"/>
                <w:right w:val="nil"/>
                <w:between w:val="nil"/>
              </w:pBdr>
              <w:spacing w:after="0" w:line="240" w:lineRule="auto"/>
              <w:jc w:val="left"/>
            </w:pPr>
          </w:p>
        </w:tc>
        <w:tc>
          <w:tcPr>
            <w:tcW w:w="1905" w:type="dxa"/>
            <w:shd w:val="clear" w:color="auto" w:fill="93C47D"/>
            <w:tcMar>
              <w:top w:w="100" w:type="dxa"/>
              <w:left w:w="100" w:type="dxa"/>
              <w:bottom w:w="100" w:type="dxa"/>
              <w:right w:w="100" w:type="dxa"/>
            </w:tcMar>
          </w:tcPr>
          <w:p w14:paraId="59908632" w14:textId="77777777" w:rsidR="00BC388A" w:rsidRDefault="00140473">
            <w:pPr>
              <w:widowControl w:val="0"/>
              <w:spacing w:after="0" w:line="240" w:lineRule="auto"/>
              <w:jc w:val="left"/>
              <w:rPr>
                <w:b/>
              </w:rPr>
            </w:pPr>
            <w:r>
              <w:rPr>
                <w:b/>
              </w:rPr>
              <w:t>Disaster Mitigation  and Agriculture</w:t>
            </w:r>
          </w:p>
        </w:tc>
        <w:tc>
          <w:tcPr>
            <w:tcW w:w="1680" w:type="dxa"/>
            <w:shd w:val="clear" w:color="auto" w:fill="93C47D"/>
            <w:tcMar>
              <w:top w:w="100" w:type="dxa"/>
              <w:left w:w="100" w:type="dxa"/>
              <w:bottom w:w="100" w:type="dxa"/>
              <w:right w:w="100" w:type="dxa"/>
            </w:tcMar>
          </w:tcPr>
          <w:p w14:paraId="18792387" w14:textId="77777777" w:rsidR="00BC388A" w:rsidRDefault="00140473">
            <w:pPr>
              <w:widowControl w:val="0"/>
              <w:pBdr>
                <w:top w:val="nil"/>
                <w:left w:val="nil"/>
                <w:bottom w:val="nil"/>
                <w:right w:val="nil"/>
                <w:between w:val="nil"/>
              </w:pBdr>
              <w:spacing w:after="0" w:line="240" w:lineRule="auto"/>
              <w:jc w:val="left"/>
              <w:rPr>
                <w:b/>
              </w:rPr>
            </w:pPr>
            <w:r>
              <w:rPr>
                <w:b/>
              </w:rPr>
              <w:t>100%</w:t>
            </w:r>
          </w:p>
        </w:tc>
      </w:tr>
    </w:tbl>
    <w:p w14:paraId="1E66F995" w14:textId="77777777" w:rsidR="00BC388A" w:rsidRDefault="00BC388A">
      <w:pPr>
        <w:jc w:val="center"/>
        <w:rPr>
          <w:b/>
          <w:sz w:val="20"/>
          <w:szCs w:val="20"/>
        </w:rPr>
      </w:pPr>
    </w:p>
    <w:p w14:paraId="6F819195" w14:textId="77777777" w:rsidR="00BC388A" w:rsidRDefault="00140473" w:rsidP="00567C6D">
      <w:pPr>
        <w:pStyle w:val="Heading2"/>
        <w:numPr>
          <w:ilvl w:val="0"/>
          <w:numId w:val="0"/>
        </w:numPr>
      </w:pPr>
      <w:bookmarkStart w:id="21" w:name="_Toc90565252"/>
      <w:r>
        <w:t>6.5. Interoperable</w:t>
      </w:r>
      <w:bookmarkEnd w:id="21"/>
    </w:p>
    <w:p w14:paraId="58BAF3C5" w14:textId="77777777" w:rsidR="00BC388A" w:rsidRDefault="00140473">
      <w:r>
        <w:t>Table 7 shows the summary of the compliance with the Essential and Important indicators of the Interoperable area. Observations and explanations:</w:t>
      </w:r>
    </w:p>
    <w:p w14:paraId="1726A31D" w14:textId="77777777" w:rsidR="00BC388A" w:rsidRDefault="00140473">
      <w:pPr>
        <w:numPr>
          <w:ilvl w:val="0"/>
          <w:numId w:val="4"/>
        </w:numPr>
        <w:spacing w:after="0"/>
      </w:pPr>
      <w:r>
        <w:t xml:space="preserve">This is the area with the lowest level of compliance overall. Only two data spaces, ENES and </w:t>
      </w:r>
      <w:proofErr w:type="spellStart"/>
      <w:r>
        <w:t>SeaDataNet</w:t>
      </w:r>
      <w:proofErr w:type="spellEnd"/>
      <w:r>
        <w:t xml:space="preserve"> meet all the Essential and Important criteria in this area. However note that this area does not have any Essential indicators, only Important and Useful ones. No-compliance in this area is therefore not as critical as in any of the other three areas. </w:t>
      </w:r>
    </w:p>
    <w:p w14:paraId="404C3B25" w14:textId="77777777" w:rsidR="00BC388A" w:rsidRDefault="00140473">
      <w:pPr>
        <w:numPr>
          <w:ilvl w:val="0"/>
          <w:numId w:val="4"/>
        </w:numPr>
        <w:spacing w:after="0"/>
      </w:pPr>
      <w:r>
        <w:t xml:space="preserve">useGalaxy.eu, GBIF, Disaster Mitigation and Agriculture are above 80%.  </w:t>
      </w:r>
    </w:p>
    <w:p w14:paraId="4785C957" w14:textId="77777777" w:rsidR="00BC388A" w:rsidRDefault="00140473">
      <w:pPr>
        <w:numPr>
          <w:ilvl w:val="0"/>
          <w:numId w:val="4"/>
        </w:numPr>
      </w:pPr>
      <w:r>
        <w:t xml:space="preserve">LOFAR meets 57%, EMSO ERIC 14%. </w:t>
      </w:r>
    </w:p>
    <w:p w14:paraId="7289F2B5" w14:textId="77777777" w:rsidR="00BC388A" w:rsidRDefault="00140473">
      <w:pPr>
        <w:rPr>
          <w:b/>
          <w:sz w:val="20"/>
          <w:szCs w:val="20"/>
        </w:rPr>
      </w:pPr>
      <w:r>
        <w:rPr>
          <w:sz w:val="20"/>
          <w:szCs w:val="20"/>
        </w:rPr>
        <w:t>Table 7: The outcome of the “Interoperability” indicators assessment.</w:t>
      </w:r>
    </w:p>
    <w:tbl>
      <w:tblPr>
        <w:tblStyle w:val="af1"/>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20"/>
        <w:gridCol w:w="1815"/>
        <w:gridCol w:w="1680"/>
      </w:tblGrid>
      <w:tr w:rsidR="00BC388A" w14:paraId="110A9D37" w14:textId="77777777">
        <w:tc>
          <w:tcPr>
            <w:tcW w:w="5520" w:type="dxa"/>
            <w:shd w:val="clear" w:color="auto" w:fill="C9DAF8"/>
            <w:tcMar>
              <w:top w:w="100" w:type="dxa"/>
              <w:left w:w="100" w:type="dxa"/>
              <w:bottom w:w="100" w:type="dxa"/>
              <w:right w:w="100" w:type="dxa"/>
            </w:tcMar>
          </w:tcPr>
          <w:p w14:paraId="3130FD5F" w14:textId="77777777" w:rsidR="00BC388A" w:rsidRDefault="00140473">
            <w:pPr>
              <w:widowControl w:val="0"/>
              <w:pBdr>
                <w:top w:val="nil"/>
                <w:left w:val="nil"/>
                <w:bottom w:val="nil"/>
                <w:right w:val="nil"/>
                <w:between w:val="nil"/>
              </w:pBdr>
              <w:spacing w:after="0" w:line="240" w:lineRule="auto"/>
              <w:jc w:val="left"/>
              <w:rPr>
                <w:b/>
              </w:rPr>
            </w:pPr>
            <w:r>
              <w:rPr>
                <w:b/>
              </w:rPr>
              <w:t>Interoperability Indicators</w:t>
            </w:r>
          </w:p>
        </w:tc>
        <w:tc>
          <w:tcPr>
            <w:tcW w:w="1815" w:type="dxa"/>
            <w:shd w:val="clear" w:color="auto" w:fill="C9DAF8"/>
            <w:tcMar>
              <w:top w:w="100" w:type="dxa"/>
              <w:left w:w="100" w:type="dxa"/>
              <w:bottom w:w="100" w:type="dxa"/>
              <w:right w:w="100" w:type="dxa"/>
            </w:tcMar>
          </w:tcPr>
          <w:p w14:paraId="3F74E37A" w14:textId="77777777" w:rsidR="00BC388A" w:rsidRDefault="00140473">
            <w:pPr>
              <w:widowControl w:val="0"/>
              <w:pBdr>
                <w:top w:val="nil"/>
                <w:left w:val="nil"/>
                <w:bottom w:val="nil"/>
                <w:right w:val="nil"/>
                <w:between w:val="nil"/>
              </w:pBdr>
              <w:spacing w:after="0" w:line="240" w:lineRule="auto"/>
              <w:jc w:val="left"/>
              <w:rPr>
                <w:b/>
              </w:rPr>
            </w:pPr>
            <w:r>
              <w:rPr>
                <w:b/>
              </w:rPr>
              <w:t>Data Space</w:t>
            </w:r>
          </w:p>
        </w:tc>
        <w:tc>
          <w:tcPr>
            <w:tcW w:w="1680" w:type="dxa"/>
            <w:shd w:val="clear" w:color="auto" w:fill="C9DAF8"/>
            <w:tcMar>
              <w:top w:w="100" w:type="dxa"/>
              <w:left w:w="100" w:type="dxa"/>
              <w:bottom w:w="100" w:type="dxa"/>
              <w:right w:w="100" w:type="dxa"/>
            </w:tcMar>
          </w:tcPr>
          <w:p w14:paraId="0247A17B" w14:textId="77777777" w:rsidR="00BC388A" w:rsidRDefault="00140473">
            <w:pPr>
              <w:widowControl w:val="0"/>
              <w:pBdr>
                <w:top w:val="nil"/>
                <w:left w:val="nil"/>
                <w:bottom w:val="nil"/>
                <w:right w:val="nil"/>
                <w:between w:val="nil"/>
              </w:pBdr>
              <w:spacing w:after="0" w:line="240" w:lineRule="auto"/>
              <w:jc w:val="left"/>
              <w:rPr>
                <w:b/>
              </w:rPr>
            </w:pPr>
            <w:r>
              <w:rPr>
                <w:b/>
              </w:rPr>
              <w:t>% of Essential and Important indicators satisfied</w:t>
            </w:r>
          </w:p>
        </w:tc>
      </w:tr>
      <w:tr w:rsidR="00BC388A" w14:paraId="3AD3CC67" w14:textId="77777777">
        <w:trPr>
          <w:trHeight w:val="1092"/>
        </w:trPr>
        <w:tc>
          <w:tcPr>
            <w:tcW w:w="5520" w:type="dxa"/>
            <w:vMerge w:val="restart"/>
          </w:tcPr>
          <w:p w14:paraId="5F3DFCEE" w14:textId="77777777" w:rsidR="00BC388A" w:rsidRDefault="00140473">
            <w:pPr>
              <w:widowControl w:val="0"/>
              <w:spacing w:after="0" w:line="240" w:lineRule="auto"/>
              <w:jc w:val="left"/>
              <w:rPr>
                <w:sz w:val="20"/>
                <w:szCs w:val="20"/>
              </w:rPr>
            </w:pPr>
            <w:r>
              <w:rPr>
                <w:b/>
                <w:color w:val="FF9900"/>
                <w:sz w:val="20"/>
                <w:szCs w:val="20"/>
              </w:rPr>
              <w:t>RDA-I1-01M</w:t>
            </w:r>
            <w:r>
              <w:rPr>
                <w:sz w:val="20"/>
                <w:szCs w:val="20"/>
              </w:rPr>
              <w:t xml:space="preserve"> Metadata uses knowledge representation expressed in standardised format</w:t>
            </w:r>
            <w:r>
              <w:rPr>
                <w:sz w:val="20"/>
                <w:szCs w:val="20"/>
              </w:rPr>
              <w:br/>
            </w:r>
          </w:p>
          <w:p w14:paraId="681D1EE9" w14:textId="77777777" w:rsidR="00BC388A" w:rsidRDefault="00140473">
            <w:pPr>
              <w:widowControl w:val="0"/>
              <w:spacing w:after="0" w:line="240" w:lineRule="auto"/>
              <w:jc w:val="left"/>
              <w:rPr>
                <w:sz w:val="20"/>
                <w:szCs w:val="20"/>
              </w:rPr>
            </w:pPr>
            <w:r>
              <w:rPr>
                <w:b/>
                <w:color w:val="FF9900"/>
                <w:sz w:val="20"/>
                <w:szCs w:val="20"/>
              </w:rPr>
              <w:t>RDA-I1-01D</w:t>
            </w:r>
            <w:r>
              <w:rPr>
                <w:sz w:val="20"/>
                <w:szCs w:val="20"/>
              </w:rPr>
              <w:t xml:space="preserve"> Data uses knowledge representation expressed in standardised format</w:t>
            </w:r>
          </w:p>
          <w:p w14:paraId="4037B26D" w14:textId="77777777" w:rsidR="00BC388A" w:rsidRDefault="00140473">
            <w:pPr>
              <w:widowControl w:val="0"/>
              <w:spacing w:after="0" w:line="240" w:lineRule="auto"/>
              <w:jc w:val="left"/>
              <w:rPr>
                <w:sz w:val="20"/>
                <w:szCs w:val="20"/>
              </w:rPr>
            </w:pPr>
            <w:r>
              <w:rPr>
                <w:sz w:val="20"/>
                <w:szCs w:val="20"/>
              </w:rPr>
              <w:br/>
            </w:r>
            <w:r>
              <w:rPr>
                <w:b/>
                <w:color w:val="FF9900"/>
                <w:sz w:val="20"/>
                <w:szCs w:val="20"/>
              </w:rPr>
              <w:t>RDA-I1-02M</w:t>
            </w:r>
            <w:r>
              <w:rPr>
                <w:sz w:val="20"/>
                <w:szCs w:val="20"/>
              </w:rPr>
              <w:t xml:space="preserve"> Metadata uses machine-understandable knowledge representation</w:t>
            </w:r>
          </w:p>
          <w:p w14:paraId="33C4DB03" w14:textId="77777777" w:rsidR="00BC388A" w:rsidRDefault="00140473">
            <w:pPr>
              <w:widowControl w:val="0"/>
              <w:spacing w:after="0" w:line="240" w:lineRule="auto"/>
              <w:jc w:val="left"/>
              <w:rPr>
                <w:sz w:val="20"/>
                <w:szCs w:val="20"/>
              </w:rPr>
            </w:pPr>
            <w:r>
              <w:rPr>
                <w:sz w:val="20"/>
                <w:szCs w:val="20"/>
              </w:rPr>
              <w:br/>
            </w:r>
            <w:r>
              <w:rPr>
                <w:b/>
                <w:color w:val="FF9900"/>
                <w:sz w:val="20"/>
                <w:szCs w:val="20"/>
              </w:rPr>
              <w:t>RDA-I1-02D</w:t>
            </w:r>
            <w:r>
              <w:rPr>
                <w:sz w:val="20"/>
                <w:szCs w:val="20"/>
              </w:rPr>
              <w:t xml:space="preserve"> Data uses machine-understandable </w:t>
            </w:r>
            <w:r>
              <w:rPr>
                <w:sz w:val="20"/>
                <w:szCs w:val="20"/>
              </w:rPr>
              <w:lastRenderedPageBreak/>
              <w:t>knowledge representation</w:t>
            </w:r>
          </w:p>
          <w:p w14:paraId="2212CCA5" w14:textId="77777777" w:rsidR="00BC388A" w:rsidRDefault="00140473">
            <w:pPr>
              <w:widowControl w:val="0"/>
              <w:spacing w:after="0" w:line="240" w:lineRule="auto"/>
              <w:jc w:val="left"/>
              <w:rPr>
                <w:sz w:val="20"/>
                <w:szCs w:val="20"/>
              </w:rPr>
            </w:pPr>
            <w:r>
              <w:rPr>
                <w:sz w:val="20"/>
                <w:szCs w:val="20"/>
              </w:rPr>
              <w:br/>
            </w:r>
            <w:r>
              <w:rPr>
                <w:b/>
                <w:color w:val="FF9900"/>
                <w:sz w:val="20"/>
                <w:szCs w:val="20"/>
              </w:rPr>
              <w:t>RDA-I2-01M</w:t>
            </w:r>
            <w:r>
              <w:rPr>
                <w:sz w:val="20"/>
                <w:szCs w:val="20"/>
              </w:rPr>
              <w:t xml:space="preserve"> Metadata uses FAIR-compliant vocabularies</w:t>
            </w:r>
          </w:p>
          <w:p w14:paraId="4641A584" w14:textId="77777777" w:rsidR="00BC388A" w:rsidRDefault="00140473">
            <w:pPr>
              <w:widowControl w:val="0"/>
              <w:spacing w:after="0" w:line="240" w:lineRule="auto"/>
              <w:jc w:val="left"/>
              <w:rPr>
                <w:sz w:val="20"/>
                <w:szCs w:val="20"/>
              </w:rPr>
            </w:pPr>
            <w:r>
              <w:rPr>
                <w:sz w:val="20"/>
                <w:szCs w:val="20"/>
              </w:rPr>
              <w:br/>
            </w:r>
            <w:r>
              <w:rPr>
                <w:b/>
                <w:color w:val="0000FF"/>
                <w:sz w:val="20"/>
                <w:szCs w:val="20"/>
              </w:rPr>
              <w:t>RDA-I2-01D</w:t>
            </w:r>
            <w:r>
              <w:rPr>
                <w:sz w:val="20"/>
                <w:szCs w:val="20"/>
              </w:rPr>
              <w:t xml:space="preserve"> Data uses FAIR-compliant vocabularies</w:t>
            </w:r>
          </w:p>
          <w:p w14:paraId="5F778F0B" w14:textId="77777777" w:rsidR="00BC388A" w:rsidRDefault="00140473">
            <w:pPr>
              <w:widowControl w:val="0"/>
              <w:spacing w:after="0" w:line="240" w:lineRule="auto"/>
              <w:jc w:val="left"/>
              <w:rPr>
                <w:sz w:val="20"/>
                <w:szCs w:val="20"/>
              </w:rPr>
            </w:pPr>
            <w:r>
              <w:rPr>
                <w:sz w:val="20"/>
                <w:szCs w:val="20"/>
              </w:rPr>
              <w:br/>
            </w:r>
            <w:r>
              <w:rPr>
                <w:b/>
                <w:color w:val="FF9900"/>
                <w:sz w:val="20"/>
                <w:szCs w:val="20"/>
              </w:rPr>
              <w:t>RDA-I3-01M</w:t>
            </w:r>
            <w:r>
              <w:rPr>
                <w:sz w:val="20"/>
                <w:szCs w:val="20"/>
              </w:rPr>
              <w:t xml:space="preserve"> Metadata includes references to other metadata</w:t>
            </w:r>
          </w:p>
          <w:p w14:paraId="08B78DE3" w14:textId="77777777" w:rsidR="00BC388A" w:rsidRDefault="00140473">
            <w:pPr>
              <w:widowControl w:val="0"/>
              <w:spacing w:after="0" w:line="240" w:lineRule="auto"/>
              <w:jc w:val="left"/>
              <w:rPr>
                <w:sz w:val="20"/>
                <w:szCs w:val="20"/>
              </w:rPr>
            </w:pPr>
            <w:r>
              <w:rPr>
                <w:sz w:val="20"/>
                <w:szCs w:val="20"/>
              </w:rPr>
              <w:br/>
            </w:r>
            <w:r>
              <w:rPr>
                <w:b/>
                <w:color w:val="0000FF"/>
                <w:sz w:val="20"/>
                <w:szCs w:val="20"/>
              </w:rPr>
              <w:t>RDA-I3-01D</w:t>
            </w:r>
            <w:r>
              <w:rPr>
                <w:sz w:val="20"/>
                <w:szCs w:val="20"/>
              </w:rPr>
              <w:t xml:space="preserve"> Data includes references to other data</w:t>
            </w:r>
          </w:p>
          <w:p w14:paraId="04CAFEBB" w14:textId="77777777" w:rsidR="00BC388A" w:rsidRDefault="00140473">
            <w:pPr>
              <w:widowControl w:val="0"/>
              <w:spacing w:after="0" w:line="240" w:lineRule="auto"/>
              <w:jc w:val="left"/>
              <w:rPr>
                <w:sz w:val="20"/>
                <w:szCs w:val="20"/>
              </w:rPr>
            </w:pPr>
            <w:r>
              <w:rPr>
                <w:sz w:val="20"/>
                <w:szCs w:val="20"/>
              </w:rPr>
              <w:br/>
            </w:r>
            <w:r>
              <w:rPr>
                <w:b/>
                <w:color w:val="0000FF"/>
                <w:sz w:val="20"/>
                <w:szCs w:val="20"/>
              </w:rPr>
              <w:t>RDA-I3-02M</w:t>
            </w:r>
            <w:r>
              <w:rPr>
                <w:sz w:val="20"/>
                <w:szCs w:val="20"/>
              </w:rPr>
              <w:t xml:space="preserve"> Metadata includes references to other data</w:t>
            </w:r>
          </w:p>
          <w:p w14:paraId="7A9B076C" w14:textId="77777777" w:rsidR="00BC388A" w:rsidRDefault="00140473">
            <w:pPr>
              <w:widowControl w:val="0"/>
              <w:spacing w:after="0" w:line="240" w:lineRule="auto"/>
              <w:jc w:val="left"/>
              <w:rPr>
                <w:sz w:val="20"/>
                <w:szCs w:val="20"/>
              </w:rPr>
            </w:pPr>
            <w:r>
              <w:rPr>
                <w:sz w:val="20"/>
                <w:szCs w:val="20"/>
              </w:rPr>
              <w:br/>
            </w:r>
            <w:r>
              <w:rPr>
                <w:b/>
                <w:color w:val="0000FF"/>
                <w:sz w:val="20"/>
                <w:szCs w:val="20"/>
              </w:rPr>
              <w:t>RDA-I3-02D</w:t>
            </w:r>
            <w:r>
              <w:rPr>
                <w:sz w:val="20"/>
                <w:szCs w:val="20"/>
              </w:rPr>
              <w:t xml:space="preserve"> Data includes qualified references to other data</w:t>
            </w:r>
          </w:p>
          <w:p w14:paraId="2878C2FB" w14:textId="77777777" w:rsidR="00BC388A" w:rsidRDefault="00140473">
            <w:pPr>
              <w:widowControl w:val="0"/>
              <w:spacing w:after="0" w:line="240" w:lineRule="auto"/>
              <w:jc w:val="left"/>
              <w:rPr>
                <w:sz w:val="20"/>
                <w:szCs w:val="20"/>
              </w:rPr>
            </w:pPr>
            <w:r>
              <w:rPr>
                <w:sz w:val="20"/>
                <w:szCs w:val="20"/>
              </w:rPr>
              <w:br/>
            </w:r>
            <w:r>
              <w:rPr>
                <w:b/>
                <w:color w:val="FF9900"/>
                <w:sz w:val="20"/>
                <w:szCs w:val="20"/>
              </w:rPr>
              <w:t>RDA-I3-03M</w:t>
            </w:r>
            <w:r>
              <w:rPr>
                <w:sz w:val="20"/>
                <w:szCs w:val="20"/>
              </w:rPr>
              <w:t xml:space="preserve"> Metadata includes qualified references to other metadata</w:t>
            </w:r>
          </w:p>
          <w:p w14:paraId="3BDCDDB1" w14:textId="77777777" w:rsidR="00BC388A" w:rsidRDefault="00140473">
            <w:pPr>
              <w:widowControl w:val="0"/>
              <w:spacing w:after="0" w:line="240" w:lineRule="auto"/>
              <w:jc w:val="left"/>
              <w:rPr>
                <w:sz w:val="20"/>
                <w:szCs w:val="20"/>
              </w:rPr>
            </w:pPr>
            <w:r>
              <w:rPr>
                <w:sz w:val="20"/>
                <w:szCs w:val="20"/>
              </w:rPr>
              <w:br/>
            </w:r>
            <w:r>
              <w:rPr>
                <w:b/>
                <w:color w:val="0000FF"/>
                <w:sz w:val="20"/>
                <w:szCs w:val="20"/>
              </w:rPr>
              <w:t>RDA-I3-04M</w:t>
            </w:r>
            <w:r>
              <w:rPr>
                <w:sz w:val="20"/>
                <w:szCs w:val="20"/>
              </w:rPr>
              <w:t xml:space="preserve"> Metadata includes qualified references to other data</w:t>
            </w:r>
          </w:p>
        </w:tc>
        <w:tc>
          <w:tcPr>
            <w:tcW w:w="1815" w:type="dxa"/>
            <w:shd w:val="clear" w:color="auto" w:fill="FF9900"/>
            <w:tcMar>
              <w:top w:w="100" w:type="dxa"/>
              <w:left w:w="100" w:type="dxa"/>
              <w:bottom w:w="100" w:type="dxa"/>
              <w:right w:w="100" w:type="dxa"/>
            </w:tcMar>
          </w:tcPr>
          <w:p w14:paraId="2331A638" w14:textId="77777777" w:rsidR="00BC388A" w:rsidRDefault="00140473">
            <w:pPr>
              <w:widowControl w:val="0"/>
              <w:pBdr>
                <w:top w:val="nil"/>
                <w:left w:val="nil"/>
                <w:bottom w:val="nil"/>
                <w:right w:val="nil"/>
                <w:between w:val="nil"/>
              </w:pBdr>
              <w:spacing w:after="0" w:line="240" w:lineRule="auto"/>
              <w:jc w:val="left"/>
              <w:rPr>
                <w:b/>
              </w:rPr>
            </w:pPr>
            <w:r>
              <w:rPr>
                <w:b/>
              </w:rPr>
              <w:lastRenderedPageBreak/>
              <w:t>useGalaxy.eu</w:t>
            </w:r>
          </w:p>
        </w:tc>
        <w:tc>
          <w:tcPr>
            <w:tcW w:w="1680" w:type="dxa"/>
            <w:shd w:val="clear" w:color="auto" w:fill="FF9900"/>
            <w:tcMar>
              <w:top w:w="100" w:type="dxa"/>
              <w:left w:w="100" w:type="dxa"/>
              <w:bottom w:w="100" w:type="dxa"/>
              <w:right w:w="100" w:type="dxa"/>
            </w:tcMar>
          </w:tcPr>
          <w:p w14:paraId="42C280CB" w14:textId="77777777" w:rsidR="00BC388A" w:rsidRDefault="00140473">
            <w:pPr>
              <w:widowControl w:val="0"/>
              <w:pBdr>
                <w:top w:val="nil"/>
                <w:left w:val="nil"/>
                <w:bottom w:val="nil"/>
                <w:right w:val="nil"/>
                <w:between w:val="nil"/>
              </w:pBdr>
              <w:spacing w:after="0" w:line="240" w:lineRule="auto"/>
              <w:jc w:val="left"/>
              <w:rPr>
                <w:b/>
              </w:rPr>
            </w:pPr>
            <w:r>
              <w:rPr>
                <w:b/>
              </w:rPr>
              <w:t>86%</w:t>
            </w:r>
          </w:p>
        </w:tc>
      </w:tr>
      <w:tr w:rsidR="00BC388A" w14:paraId="44A486D0" w14:textId="77777777">
        <w:trPr>
          <w:trHeight w:val="1092"/>
        </w:trPr>
        <w:tc>
          <w:tcPr>
            <w:tcW w:w="5520" w:type="dxa"/>
            <w:vMerge/>
            <w:shd w:val="clear" w:color="auto" w:fill="auto"/>
            <w:tcMar>
              <w:top w:w="100" w:type="dxa"/>
              <w:left w:w="100" w:type="dxa"/>
              <w:bottom w:w="100" w:type="dxa"/>
              <w:right w:w="100" w:type="dxa"/>
            </w:tcMar>
          </w:tcPr>
          <w:p w14:paraId="6A557165" w14:textId="77777777" w:rsidR="00BC388A" w:rsidRDefault="00BC388A">
            <w:pPr>
              <w:widowControl w:val="0"/>
              <w:pBdr>
                <w:top w:val="nil"/>
                <w:left w:val="nil"/>
                <w:bottom w:val="nil"/>
                <w:right w:val="nil"/>
                <w:between w:val="nil"/>
              </w:pBdr>
              <w:spacing w:after="0" w:line="240" w:lineRule="auto"/>
              <w:jc w:val="left"/>
            </w:pPr>
          </w:p>
        </w:tc>
        <w:tc>
          <w:tcPr>
            <w:tcW w:w="1815" w:type="dxa"/>
            <w:shd w:val="clear" w:color="auto" w:fill="FF9900"/>
            <w:tcMar>
              <w:top w:w="100" w:type="dxa"/>
              <w:left w:w="100" w:type="dxa"/>
              <w:bottom w:w="100" w:type="dxa"/>
              <w:right w:w="100" w:type="dxa"/>
            </w:tcMar>
          </w:tcPr>
          <w:p w14:paraId="6AEC11B2" w14:textId="77777777" w:rsidR="00BC388A" w:rsidRDefault="00140473">
            <w:pPr>
              <w:widowControl w:val="0"/>
              <w:spacing w:after="0" w:line="240" w:lineRule="auto"/>
              <w:jc w:val="left"/>
              <w:rPr>
                <w:b/>
              </w:rPr>
            </w:pPr>
            <w:r>
              <w:rPr>
                <w:b/>
              </w:rPr>
              <w:t>GBIF</w:t>
            </w:r>
          </w:p>
        </w:tc>
        <w:tc>
          <w:tcPr>
            <w:tcW w:w="1680" w:type="dxa"/>
            <w:shd w:val="clear" w:color="auto" w:fill="FF9900"/>
            <w:tcMar>
              <w:top w:w="100" w:type="dxa"/>
              <w:left w:w="100" w:type="dxa"/>
              <w:bottom w:w="100" w:type="dxa"/>
              <w:right w:w="100" w:type="dxa"/>
            </w:tcMar>
          </w:tcPr>
          <w:p w14:paraId="7D6FC9FA" w14:textId="77777777" w:rsidR="00BC388A" w:rsidRDefault="00140473">
            <w:pPr>
              <w:widowControl w:val="0"/>
              <w:pBdr>
                <w:top w:val="nil"/>
                <w:left w:val="nil"/>
                <w:bottom w:val="nil"/>
                <w:right w:val="nil"/>
                <w:between w:val="nil"/>
              </w:pBdr>
              <w:spacing w:after="0" w:line="240" w:lineRule="auto"/>
              <w:jc w:val="left"/>
              <w:rPr>
                <w:b/>
              </w:rPr>
            </w:pPr>
            <w:r>
              <w:rPr>
                <w:b/>
              </w:rPr>
              <w:t>86%</w:t>
            </w:r>
          </w:p>
        </w:tc>
      </w:tr>
      <w:tr w:rsidR="00BC388A" w14:paraId="2A0F2EAD" w14:textId="77777777">
        <w:trPr>
          <w:trHeight w:val="1092"/>
        </w:trPr>
        <w:tc>
          <w:tcPr>
            <w:tcW w:w="5520" w:type="dxa"/>
            <w:vMerge/>
            <w:shd w:val="clear" w:color="auto" w:fill="auto"/>
            <w:tcMar>
              <w:top w:w="100" w:type="dxa"/>
              <w:left w:w="100" w:type="dxa"/>
              <w:bottom w:w="100" w:type="dxa"/>
              <w:right w:w="100" w:type="dxa"/>
            </w:tcMar>
          </w:tcPr>
          <w:p w14:paraId="76D4B14D" w14:textId="77777777" w:rsidR="00BC388A" w:rsidRDefault="00BC388A">
            <w:pPr>
              <w:widowControl w:val="0"/>
              <w:pBdr>
                <w:top w:val="nil"/>
                <w:left w:val="nil"/>
                <w:bottom w:val="nil"/>
                <w:right w:val="nil"/>
                <w:between w:val="nil"/>
              </w:pBdr>
              <w:spacing w:after="0" w:line="240" w:lineRule="auto"/>
              <w:jc w:val="left"/>
            </w:pPr>
          </w:p>
        </w:tc>
        <w:tc>
          <w:tcPr>
            <w:tcW w:w="1815" w:type="dxa"/>
            <w:shd w:val="clear" w:color="auto" w:fill="6AA84F"/>
            <w:tcMar>
              <w:top w:w="100" w:type="dxa"/>
              <w:left w:w="100" w:type="dxa"/>
              <w:bottom w:w="100" w:type="dxa"/>
              <w:right w:w="100" w:type="dxa"/>
            </w:tcMar>
          </w:tcPr>
          <w:p w14:paraId="58A2CBB6" w14:textId="77777777" w:rsidR="00BC388A" w:rsidRDefault="00140473">
            <w:pPr>
              <w:widowControl w:val="0"/>
              <w:spacing w:after="0" w:line="240" w:lineRule="auto"/>
              <w:jc w:val="left"/>
              <w:rPr>
                <w:b/>
              </w:rPr>
            </w:pPr>
            <w:r>
              <w:rPr>
                <w:b/>
              </w:rPr>
              <w:t>ENES</w:t>
            </w:r>
          </w:p>
        </w:tc>
        <w:tc>
          <w:tcPr>
            <w:tcW w:w="1680" w:type="dxa"/>
            <w:shd w:val="clear" w:color="auto" w:fill="6AA84F"/>
            <w:tcMar>
              <w:top w:w="100" w:type="dxa"/>
              <w:left w:w="100" w:type="dxa"/>
              <w:bottom w:w="100" w:type="dxa"/>
              <w:right w:w="100" w:type="dxa"/>
            </w:tcMar>
          </w:tcPr>
          <w:p w14:paraId="786DDEF4" w14:textId="77777777" w:rsidR="00BC388A" w:rsidRDefault="00140473">
            <w:pPr>
              <w:widowControl w:val="0"/>
              <w:pBdr>
                <w:top w:val="nil"/>
                <w:left w:val="nil"/>
                <w:bottom w:val="nil"/>
                <w:right w:val="nil"/>
                <w:between w:val="nil"/>
              </w:pBdr>
              <w:spacing w:after="0" w:line="240" w:lineRule="auto"/>
              <w:jc w:val="left"/>
              <w:rPr>
                <w:b/>
              </w:rPr>
            </w:pPr>
            <w:r>
              <w:rPr>
                <w:b/>
              </w:rPr>
              <w:t>100%</w:t>
            </w:r>
          </w:p>
        </w:tc>
      </w:tr>
      <w:tr w:rsidR="00BC388A" w14:paraId="50EDEA3A" w14:textId="77777777">
        <w:trPr>
          <w:trHeight w:val="1092"/>
        </w:trPr>
        <w:tc>
          <w:tcPr>
            <w:tcW w:w="5520" w:type="dxa"/>
            <w:vMerge/>
            <w:shd w:val="clear" w:color="auto" w:fill="auto"/>
            <w:tcMar>
              <w:top w:w="100" w:type="dxa"/>
              <w:left w:w="100" w:type="dxa"/>
              <w:bottom w:w="100" w:type="dxa"/>
              <w:right w:w="100" w:type="dxa"/>
            </w:tcMar>
          </w:tcPr>
          <w:p w14:paraId="237E7C64" w14:textId="77777777" w:rsidR="00BC388A" w:rsidRDefault="00BC388A">
            <w:pPr>
              <w:widowControl w:val="0"/>
              <w:pBdr>
                <w:top w:val="nil"/>
                <w:left w:val="nil"/>
                <w:bottom w:val="nil"/>
                <w:right w:val="nil"/>
                <w:between w:val="nil"/>
              </w:pBdr>
              <w:spacing w:after="0" w:line="240" w:lineRule="auto"/>
              <w:jc w:val="left"/>
            </w:pPr>
          </w:p>
        </w:tc>
        <w:tc>
          <w:tcPr>
            <w:tcW w:w="1815" w:type="dxa"/>
            <w:shd w:val="clear" w:color="auto" w:fill="EA9999"/>
            <w:tcMar>
              <w:top w:w="100" w:type="dxa"/>
              <w:left w:w="100" w:type="dxa"/>
              <w:bottom w:w="100" w:type="dxa"/>
              <w:right w:w="100" w:type="dxa"/>
            </w:tcMar>
          </w:tcPr>
          <w:p w14:paraId="4676BE20" w14:textId="77777777" w:rsidR="00BC388A" w:rsidRDefault="00140473">
            <w:pPr>
              <w:widowControl w:val="0"/>
              <w:spacing w:after="0" w:line="240" w:lineRule="auto"/>
              <w:jc w:val="left"/>
              <w:rPr>
                <w:b/>
              </w:rPr>
            </w:pPr>
            <w:r>
              <w:rPr>
                <w:b/>
              </w:rPr>
              <w:t>LOFAR Science Project</w:t>
            </w:r>
          </w:p>
        </w:tc>
        <w:tc>
          <w:tcPr>
            <w:tcW w:w="1680" w:type="dxa"/>
            <w:shd w:val="clear" w:color="auto" w:fill="EA9999"/>
            <w:tcMar>
              <w:top w:w="100" w:type="dxa"/>
              <w:left w:w="100" w:type="dxa"/>
              <w:bottom w:w="100" w:type="dxa"/>
              <w:right w:w="100" w:type="dxa"/>
            </w:tcMar>
          </w:tcPr>
          <w:p w14:paraId="5468BB7F" w14:textId="77777777" w:rsidR="00BC388A" w:rsidRDefault="00140473">
            <w:pPr>
              <w:widowControl w:val="0"/>
              <w:pBdr>
                <w:top w:val="nil"/>
                <w:left w:val="nil"/>
                <w:bottom w:val="nil"/>
                <w:right w:val="nil"/>
                <w:between w:val="nil"/>
              </w:pBdr>
              <w:spacing w:after="0" w:line="240" w:lineRule="auto"/>
              <w:jc w:val="left"/>
              <w:rPr>
                <w:b/>
              </w:rPr>
            </w:pPr>
            <w:r>
              <w:rPr>
                <w:b/>
              </w:rPr>
              <w:t>57%</w:t>
            </w:r>
          </w:p>
        </w:tc>
      </w:tr>
      <w:tr w:rsidR="00BC388A" w14:paraId="278C043A" w14:textId="77777777">
        <w:trPr>
          <w:trHeight w:val="1092"/>
        </w:trPr>
        <w:tc>
          <w:tcPr>
            <w:tcW w:w="5520" w:type="dxa"/>
            <w:vMerge/>
            <w:shd w:val="clear" w:color="auto" w:fill="auto"/>
            <w:tcMar>
              <w:top w:w="100" w:type="dxa"/>
              <w:left w:w="100" w:type="dxa"/>
              <w:bottom w:w="100" w:type="dxa"/>
              <w:right w:w="100" w:type="dxa"/>
            </w:tcMar>
          </w:tcPr>
          <w:p w14:paraId="523F8CE9" w14:textId="77777777" w:rsidR="00BC388A" w:rsidRDefault="00BC388A">
            <w:pPr>
              <w:widowControl w:val="0"/>
              <w:pBdr>
                <w:top w:val="nil"/>
                <w:left w:val="nil"/>
                <w:bottom w:val="nil"/>
                <w:right w:val="nil"/>
                <w:between w:val="nil"/>
              </w:pBdr>
              <w:spacing w:after="0" w:line="240" w:lineRule="auto"/>
              <w:jc w:val="left"/>
            </w:pPr>
          </w:p>
        </w:tc>
        <w:tc>
          <w:tcPr>
            <w:tcW w:w="1815" w:type="dxa"/>
            <w:shd w:val="clear" w:color="auto" w:fill="EA9999"/>
            <w:tcMar>
              <w:top w:w="100" w:type="dxa"/>
              <w:left w:w="100" w:type="dxa"/>
              <w:bottom w:w="100" w:type="dxa"/>
              <w:right w:w="100" w:type="dxa"/>
            </w:tcMar>
          </w:tcPr>
          <w:p w14:paraId="6B0D9850" w14:textId="77777777" w:rsidR="00BC388A" w:rsidRDefault="00140473">
            <w:pPr>
              <w:widowControl w:val="0"/>
              <w:spacing w:after="0" w:line="240" w:lineRule="auto"/>
              <w:jc w:val="left"/>
              <w:rPr>
                <w:b/>
              </w:rPr>
            </w:pPr>
            <w:r>
              <w:rPr>
                <w:b/>
              </w:rPr>
              <w:t>EMSO ERIC</w:t>
            </w:r>
          </w:p>
        </w:tc>
        <w:tc>
          <w:tcPr>
            <w:tcW w:w="1680" w:type="dxa"/>
            <w:shd w:val="clear" w:color="auto" w:fill="EA9999"/>
            <w:tcMar>
              <w:top w:w="100" w:type="dxa"/>
              <w:left w:w="100" w:type="dxa"/>
              <w:bottom w:w="100" w:type="dxa"/>
              <w:right w:w="100" w:type="dxa"/>
            </w:tcMar>
          </w:tcPr>
          <w:p w14:paraId="039934D2" w14:textId="77777777" w:rsidR="00BC388A" w:rsidRDefault="00140473">
            <w:pPr>
              <w:widowControl w:val="0"/>
              <w:pBdr>
                <w:top w:val="nil"/>
                <w:left w:val="nil"/>
                <w:bottom w:val="nil"/>
                <w:right w:val="nil"/>
                <w:between w:val="nil"/>
              </w:pBdr>
              <w:spacing w:after="0" w:line="240" w:lineRule="auto"/>
              <w:jc w:val="left"/>
              <w:rPr>
                <w:b/>
              </w:rPr>
            </w:pPr>
            <w:r>
              <w:rPr>
                <w:b/>
              </w:rPr>
              <w:t>14%</w:t>
            </w:r>
          </w:p>
        </w:tc>
      </w:tr>
      <w:tr w:rsidR="00BC388A" w14:paraId="01C37AE4" w14:textId="77777777">
        <w:trPr>
          <w:trHeight w:val="1092"/>
        </w:trPr>
        <w:tc>
          <w:tcPr>
            <w:tcW w:w="5520" w:type="dxa"/>
            <w:vMerge/>
            <w:shd w:val="clear" w:color="auto" w:fill="auto"/>
            <w:tcMar>
              <w:top w:w="100" w:type="dxa"/>
              <w:left w:w="100" w:type="dxa"/>
              <w:bottom w:w="100" w:type="dxa"/>
              <w:right w:w="100" w:type="dxa"/>
            </w:tcMar>
          </w:tcPr>
          <w:p w14:paraId="418AF7CB" w14:textId="77777777" w:rsidR="00BC388A" w:rsidRDefault="00BC388A">
            <w:pPr>
              <w:widowControl w:val="0"/>
              <w:pBdr>
                <w:top w:val="nil"/>
                <w:left w:val="nil"/>
                <w:bottom w:val="nil"/>
                <w:right w:val="nil"/>
                <w:between w:val="nil"/>
              </w:pBdr>
              <w:spacing w:after="0" w:line="240" w:lineRule="auto"/>
              <w:jc w:val="left"/>
            </w:pPr>
          </w:p>
        </w:tc>
        <w:tc>
          <w:tcPr>
            <w:tcW w:w="1815" w:type="dxa"/>
            <w:shd w:val="clear" w:color="auto" w:fill="6AA84F"/>
            <w:tcMar>
              <w:top w:w="100" w:type="dxa"/>
              <w:left w:w="100" w:type="dxa"/>
              <w:bottom w:w="100" w:type="dxa"/>
              <w:right w:w="100" w:type="dxa"/>
            </w:tcMar>
          </w:tcPr>
          <w:p w14:paraId="0B50EE9B" w14:textId="77777777" w:rsidR="00BC388A" w:rsidRDefault="00140473">
            <w:pPr>
              <w:widowControl w:val="0"/>
              <w:spacing w:after="0" w:line="240" w:lineRule="auto"/>
              <w:jc w:val="left"/>
              <w:rPr>
                <w:b/>
              </w:rPr>
            </w:pPr>
            <w:proofErr w:type="spellStart"/>
            <w:r>
              <w:rPr>
                <w:b/>
              </w:rPr>
              <w:t>SeaDataNet</w:t>
            </w:r>
            <w:proofErr w:type="spellEnd"/>
          </w:p>
        </w:tc>
        <w:tc>
          <w:tcPr>
            <w:tcW w:w="1680" w:type="dxa"/>
            <w:shd w:val="clear" w:color="auto" w:fill="6AA84F"/>
            <w:tcMar>
              <w:top w:w="100" w:type="dxa"/>
              <w:left w:w="100" w:type="dxa"/>
              <w:bottom w:w="100" w:type="dxa"/>
              <w:right w:w="100" w:type="dxa"/>
            </w:tcMar>
          </w:tcPr>
          <w:p w14:paraId="3ADE6B34" w14:textId="77777777" w:rsidR="00BC388A" w:rsidRDefault="00140473">
            <w:pPr>
              <w:widowControl w:val="0"/>
              <w:pBdr>
                <w:top w:val="nil"/>
                <w:left w:val="nil"/>
                <w:bottom w:val="nil"/>
                <w:right w:val="nil"/>
                <w:between w:val="nil"/>
              </w:pBdr>
              <w:spacing w:after="0" w:line="240" w:lineRule="auto"/>
              <w:jc w:val="left"/>
              <w:rPr>
                <w:b/>
              </w:rPr>
            </w:pPr>
            <w:r>
              <w:rPr>
                <w:b/>
              </w:rPr>
              <w:t>100%</w:t>
            </w:r>
          </w:p>
        </w:tc>
      </w:tr>
      <w:tr w:rsidR="00BC388A" w14:paraId="0D224A20" w14:textId="77777777">
        <w:trPr>
          <w:trHeight w:val="1092"/>
        </w:trPr>
        <w:tc>
          <w:tcPr>
            <w:tcW w:w="5520" w:type="dxa"/>
            <w:vMerge/>
            <w:shd w:val="clear" w:color="auto" w:fill="auto"/>
            <w:tcMar>
              <w:top w:w="100" w:type="dxa"/>
              <w:left w:w="100" w:type="dxa"/>
              <w:bottom w:w="100" w:type="dxa"/>
              <w:right w:w="100" w:type="dxa"/>
            </w:tcMar>
          </w:tcPr>
          <w:p w14:paraId="434E3DDE" w14:textId="77777777" w:rsidR="00BC388A" w:rsidRDefault="00BC388A">
            <w:pPr>
              <w:widowControl w:val="0"/>
              <w:pBdr>
                <w:top w:val="nil"/>
                <w:left w:val="nil"/>
                <w:bottom w:val="nil"/>
                <w:right w:val="nil"/>
                <w:between w:val="nil"/>
              </w:pBdr>
              <w:spacing w:after="0" w:line="240" w:lineRule="auto"/>
              <w:jc w:val="left"/>
            </w:pPr>
          </w:p>
        </w:tc>
        <w:tc>
          <w:tcPr>
            <w:tcW w:w="1815" w:type="dxa"/>
            <w:shd w:val="clear" w:color="auto" w:fill="FF9900"/>
            <w:tcMar>
              <w:top w:w="100" w:type="dxa"/>
              <w:left w:w="100" w:type="dxa"/>
              <w:bottom w:w="100" w:type="dxa"/>
              <w:right w:w="100" w:type="dxa"/>
            </w:tcMar>
          </w:tcPr>
          <w:p w14:paraId="2BA83A9B" w14:textId="77777777" w:rsidR="00BC388A" w:rsidRDefault="00140473">
            <w:pPr>
              <w:widowControl w:val="0"/>
              <w:spacing w:after="0" w:line="240" w:lineRule="auto"/>
              <w:jc w:val="left"/>
              <w:rPr>
                <w:b/>
              </w:rPr>
            </w:pPr>
            <w:r>
              <w:rPr>
                <w:b/>
              </w:rPr>
              <w:t>Disaster Mitigation and Agriculture</w:t>
            </w:r>
          </w:p>
        </w:tc>
        <w:tc>
          <w:tcPr>
            <w:tcW w:w="1680" w:type="dxa"/>
            <w:shd w:val="clear" w:color="auto" w:fill="FF9900"/>
            <w:tcMar>
              <w:top w:w="100" w:type="dxa"/>
              <w:left w:w="100" w:type="dxa"/>
              <w:bottom w:w="100" w:type="dxa"/>
              <w:right w:w="100" w:type="dxa"/>
            </w:tcMar>
          </w:tcPr>
          <w:p w14:paraId="6FDD0554" w14:textId="77777777" w:rsidR="00BC388A" w:rsidRDefault="00140473">
            <w:pPr>
              <w:widowControl w:val="0"/>
              <w:pBdr>
                <w:top w:val="nil"/>
                <w:left w:val="nil"/>
                <w:bottom w:val="nil"/>
                <w:right w:val="nil"/>
                <w:between w:val="nil"/>
              </w:pBdr>
              <w:spacing w:after="0" w:line="240" w:lineRule="auto"/>
              <w:jc w:val="left"/>
              <w:rPr>
                <w:b/>
              </w:rPr>
            </w:pPr>
            <w:r>
              <w:rPr>
                <w:b/>
              </w:rPr>
              <w:t>86%</w:t>
            </w:r>
          </w:p>
        </w:tc>
      </w:tr>
    </w:tbl>
    <w:p w14:paraId="600D7187" w14:textId="77777777" w:rsidR="00BC388A" w:rsidRDefault="00140473" w:rsidP="00567C6D">
      <w:pPr>
        <w:pStyle w:val="Heading2"/>
        <w:numPr>
          <w:ilvl w:val="0"/>
          <w:numId w:val="0"/>
        </w:numPr>
      </w:pPr>
      <w:bookmarkStart w:id="22" w:name="_heading=h.khtaqxldxzib" w:colFirst="0" w:colLast="0"/>
      <w:bookmarkStart w:id="23" w:name="_Toc90565253"/>
      <w:bookmarkEnd w:id="22"/>
      <w:r>
        <w:t>6.6. Reusable</w:t>
      </w:r>
      <w:bookmarkEnd w:id="23"/>
    </w:p>
    <w:p w14:paraId="7EC9423F" w14:textId="77777777" w:rsidR="00BC388A" w:rsidRDefault="00140473">
      <w:r>
        <w:t>Table 8 shows the summary of the compliance with the Essential and Important indicators of the Interoperable area. Observations and explanations:</w:t>
      </w:r>
    </w:p>
    <w:p w14:paraId="09FF74E9" w14:textId="77777777" w:rsidR="00BC388A" w:rsidRDefault="00140473">
      <w:pPr>
        <w:numPr>
          <w:ilvl w:val="0"/>
          <w:numId w:val="23"/>
        </w:numPr>
        <w:spacing w:after="0"/>
      </w:pPr>
      <w:r>
        <w:t xml:space="preserve">4 of the Data spaces, GBIF, ENES, </w:t>
      </w:r>
      <w:proofErr w:type="spellStart"/>
      <w:r>
        <w:t>SeaDataNet</w:t>
      </w:r>
      <w:proofErr w:type="spellEnd"/>
      <w:r>
        <w:t xml:space="preserve">, Disaster Mitigation and Agriculture are fully compliant with this area. </w:t>
      </w:r>
    </w:p>
    <w:p w14:paraId="2834B23D" w14:textId="77777777" w:rsidR="00BC388A" w:rsidRDefault="00140473">
      <w:pPr>
        <w:numPr>
          <w:ilvl w:val="0"/>
          <w:numId w:val="23"/>
        </w:numPr>
        <w:spacing w:after="0"/>
      </w:pPr>
      <w:proofErr w:type="spellStart"/>
      <w:r>
        <w:t>useGalaxy</w:t>
      </w:r>
      <w:proofErr w:type="spellEnd"/>
      <w:r>
        <w:t xml:space="preserve"> is missing only one important indicator (RDA-R1.2-01M), but meeting all essential ones, reaching 89% overall compliance. </w:t>
      </w:r>
    </w:p>
    <w:p w14:paraId="08A68C5B" w14:textId="77777777" w:rsidR="00BC388A" w:rsidRDefault="00140473">
      <w:pPr>
        <w:numPr>
          <w:ilvl w:val="0"/>
          <w:numId w:val="23"/>
        </w:numPr>
        <w:spacing w:after="0"/>
      </w:pPr>
      <w:r>
        <w:t xml:space="preserve">LOFAR misses two important indicators (RDA-R1.1-03M, RDA-R1.3-02D) but meets all essential ones, reaching 78%. </w:t>
      </w:r>
    </w:p>
    <w:p w14:paraId="78632964" w14:textId="77777777" w:rsidR="00BC388A" w:rsidRDefault="00140473">
      <w:pPr>
        <w:numPr>
          <w:ilvl w:val="0"/>
          <w:numId w:val="23"/>
        </w:numPr>
      </w:pPr>
      <w:r>
        <w:t xml:space="preserve">EMSO is missing 3 important indicators (RDA-R1.1-02M, RDA-R1.1-03M, RDA-R1.2-01M) and met all the essential ones, reaching 67% compliance. </w:t>
      </w:r>
    </w:p>
    <w:p w14:paraId="0F37D339" w14:textId="74922809" w:rsidR="00BC388A" w:rsidRDefault="00BC388A"/>
    <w:p w14:paraId="2616DA81" w14:textId="55C95CCE" w:rsidR="00567C6D" w:rsidRDefault="00567C6D"/>
    <w:p w14:paraId="28FA31CA" w14:textId="77777777" w:rsidR="00567C6D" w:rsidRDefault="00567C6D"/>
    <w:p w14:paraId="6BAEE8C7" w14:textId="77777777" w:rsidR="00BC388A" w:rsidRDefault="00BC388A"/>
    <w:p w14:paraId="3025078A" w14:textId="77777777" w:rsidR="00BC388A" w:rsidRDefault="00BC388A"/>
    <w:p w14:paraId="179F0CAE" w14:textId="77777777" w:rsidR="00BC388A" w:rsidRDefault="00BC388A"/>
    <w:p w14:paraId="4BB636FE" w14:textId="77777777" w:rsidR="00BC388A" w:rsidRDefault="00BC388A"/>
    <w:p w14:paraId="28688890" w14:textId="77777777" w:rsidR="00BC388A" w:rsidRDefault="00140473">
      <w:r>
        <w:lastRenderedPageBreak/>
        <w:t>Table 8: The outcome of the “Reusable” indicators assessment.</w:t>
      </w:r>
    </w:p>
    <w:tbl>
      <w:tblPr>
        <w:tblStyle w:val="af2"/>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45"/>
        <w:gridCol w:w="1815"/>
        <w:gridCol w:w="1755"/>
      </w:tblGrid>
      <w:tr w:rsidR="00BC388A" w14:paraId="1E5425BD" w14:textId="77777777">
        <w:tc>
          <w:tcPr>
            <w:tcW w:w="5445" w:type="dxa"/>
            <w:shd w:val="clear" w:color="auto" w:fill="C9DAF8"/>
            <w:tcMar>
              <w:top w:w="100" w:type="dxa"/>
              <w:left w:w="100" w:type="dxa"/>
              <w:bottom w:w="100" w:type="dxa"/>
              <w:right w:w="100" w:type="dxa"/>
            </w:tcMar>
          </w:tcPr>
          <w:p w14:paraId="4D4BD16E" w14:textId="77777777" w:rsidR="00BC388A" w:rsidRDefault="00140473">
            <w:pPr>
              <w:widowControl w:val="0"/>
              <w:pBdr>
                <w:top w:val="nil"/>
                <w:left w:val="nil"/>
                <w:bottom w:val="nil"/>
                <w:right w:val="nil"/>
                <w:between w:val="nil"/>
              </w:pBdr>
              <w:spacing w:after="0" w:line="240" w:lineRule="auto"/>
              <w:jc w:val="left"/>
              <w:rPr>
                <w:b/>
              </w:rPr>
            </w:pPr>
            <w:r>
              <w:rPr>
                <w:b/>
              </w:rPr>
              <w:t>Reusable indicators</w:t>
            </w:r>
          </w:p>
        </w:tc>
        <w:tc>
          <w:tcPr>
            <w:tcW w:w="1815" w:type="dxa"/>
            <w:shd w:val="clear" w:color="auto" w:fill="C9DAF8"/>
            <w:tcMar>
              <w:top w:w="100" w:type="dxa"/>
              <w:left w:w="100" w:type="dxa"/>
              <w:bottom w:w="100" w:type="dxa"/>
              <w:right w:w="100" w:type="dxa"/>
            </w:tcMar>
          </w:tcPr>
          <w:p w14:paraId="70AE4FFC" w14:textId="77777777" w:rsidR="00BC388A" w:rsidRDefault="00140473">
            <w:pPr>
              <w:widowControl w:val="0"/>
              <w:pBdr>
                <w:top w:val="nil"/>
                <w:left w:val="nil"/>
                <w:bottom w:val="nil"/>
                <w:right w:val="nil"/>
                <w:between w:val="nil"/>
              </w:pBdr>
              <w:spacing w:after="0" w:line="240" w:lineRule="auto"/>
              <w:jc w:val="left"/>
              <w:rPr>
                <w:b/>
              </w:rPr>
            </w:pPr>
            <w:r>
              <w:rPr>
                <w:b/>
              </w:rPr>
              <w:t>Data Space</w:t>
            </w:r>
          </w:p>
        </w:tc>
        <w:tc>
          <w:tcPr>
            <w:tcW w:w="1755" w:type="dxa"/>
            <w:shd w:val="clear" w:color="auto" w:fill="C9DAF8"/>
            <w:tcMar>
              <w:top w:w="100" w:type="dxa"/>
              <w:left w:w="100" w:type="dxa"/>
              <w:bottom w:w="100" w:type="dxa"/>
              <w:right w:w="100" w:type="dxa"/>
            </w:tcMar>
          </w:tcPr>
          <w:p w14:paraId="6A3F6D62" w14:textId="77777777" w:rsidR="00BC388A" w:rsidRDefault="00140473">
            <w:pPr>
              <w:widowControl w:val="0"/>
              <w:pBdr>
                <w:top w:val="nil"/>
                <w:left w:val="nil"/>
                <w:bottom w:val="nil"/>
                <w:right w:val="nil"/>
                <w:between w:val="nil"/>
              </w:pBdr>
              <w:spacing w:after="0" w:line="240" w:lineRule="auto"/>
              <w:jc w:val="left"/>
              <w:rPr>
                <w:b/>
              </w:rPr>
            </w:pPr>
            <w:r>
              <w:rPr>
                <w:b/>
              </w:rPr>
              <w:t>% of Essential and Important indicators satisfied</w:t>
            </w:r>
          </w:p>
        </w:tc>
      </w:tr>
      <w:tr w:rsidR="00BC388A" w14:paraId="39D41751" w14:textId="77777777">
        <w:trPr>
          <w:trHeight w:val="1020"/>
        </w:trPr>
        <w:tc>
          <w:tcPr>
            <w:tcW w:w="5445" w:type="dxa"/>
            <w:vMerge w:val="restart"/>
          </w:tcPr>
          <w:p w14:paraId="1D389509" w14:textId="77777777" w:rsidR="00BC388A" w:rsidRDefault="00140473">
            <w:pPr>
              <w:widowControl w:val="0"/>
              <w:spacing w:after="0" w:line="240" w:lineRule="auto"/>
              <w:jc w:val="left"/>
              <w:rPr>
                <w:sz w:val="20"/>
                <w:szCs w:val="20"/>
              </w:rPr>
            </w:pPr>
            <w:r>
              <w:rPr>
                <w:b/>
                <w:color w:val="FF0000"/>
                <w:sz w:val="20"/>
                <w:szCs w:val="20"/>
              </w:rPr>
              <w:t>RDA-R1-01M</w:t>
            </w:r>
            <w:r>
              <w:rPr>
                <w:sz w:val="20"/>
                <w:szCs w:val="20"/>
              </w:rPr>
              <w:t xml:space="preserve"> Plurality of accurate and relevant attributes are provided to allow reuse</w:t>
            </w:r>
            <w:r>
              <w:rPr>
                <w:sz w:val="20"/>
                <w:szCs w:val="20"/>
              </w:rPr>
              <w:br/>
            </w:r>
          </w:p>
          <w:p w14:paraId="1EBA37CA" w14:textId="77777777" w:rsidR="00BC388A" w:rsidRDefault="00140473">
            <w:pPr>
              <w:widowControl w:val="0"/>
              <w:spacing w:after="0" w:line="240" w:lineRule="auto"/>
              <w:jc w:val="left"/>
              <w:rPr>
                <w:sz w:val="20"/>
                <w:szCs w:val="20"/>
              </w:rPr>
            </w:pPr>
            <w:r>
              <w:rPr>
                <w:b/>
                <w:color w:val="FF0000"/>
                <w:sz w:val="20"/>
                <w:szCs w:val="20"/>
              </w:rPr>
              <w:t>RDA-R1.1-01M</w:t>
            </w:r>
            <w:r>
              <w:rPr>
                <w:sz w:val="20"/>
                <w:szCs w:val="20"/>
              </w:rPr>
              <w:t xml:space="preserve"> Metadata includes information about the licence under which the data can be reused</w:t>
            </w:r>
          </w:p>
          <w:p w14:paraId="68FAF8BA" w14:textId="77777777" w:rsidR="00BC388A" w:rsidRDefault="00140473">
            <w:pPr>
              <w:widowControl w:val="0"/>
              <w:spacing w:after="0" w:line="240" w:lineRule="auto"/>
              <w:jc w:val="left"/>
              <w:rPr>
                <w:sz w:val="20"/>
                <w:szCs w:val="20"/>
              </w:rPr>
            </w:pPr>
            <w:r>
              <w:rPr>
                <w:sz w:val="20"/>
                <w:szCs w:val="20"/>
              </w:rPr>
              <w:br/>
            </w:r>
            <w:r>
              <w:rPr>
                <w:b/>
                <w:color w:val="FF9900"/>
                <w:sz w:val="20"/>
                <w:szCs w:val="20"/>
              </w:rPr>
              <w:t>RDA-R1.1-02M</w:t>
            </w:r>
            <w:r>
              <w:rPr>
                <w:sz w:val="20"/>
                <w:szCs w:val="20"/>
              </w:rPr>
              <w:t xml:space="preserve"> Metadata refers to a standard reuse licence</w:t>
            </w:r>
          </w:p>
          <w:p w14:paraId="7F24E82F" w14:textId="77777777" w:rsidR="00BC388A" w:rsidRDefault="00140473">
            <w:pPr>
              <w:widowControl w:val="0"/>
              <w:spacing w:after="0" w:line="240" w:lineRule="auto"/>
              <w:jc w:val="left"/>
              <w:rPr>
                <w:sz w:val="20"/>
                <w:szCs w:val="20"/>
              </w:rPr>
            </w:pPr>
            <w:r>
              <w:rPr>
                <w:sz w:val="20"/>
                <w:szCs w:val="20"/>
              </w:rPr>
              <w:br/>
            </w:r>
            <w:r>
              <w:rPr>
                <w:b/>
                <w:color w:val="FF9900"/>
                <w:sz w:val="20"/>
                <w:szCs w:val="20"/>
              </w:rPr>
              <w:t>RDA-R1.1-03M</w:t>
            </w:r>
            <w:r>
              <w:rPr>
                <w:sz w:val="20"/>
                <w:szCs w:val="20"/>
              </w:rPr>
              <w:t xml:space="preserve"> Metadata refers to a machine-understandable reuse licence</w:t>
            </w:r>
          </w:p>
          <w:p w14:paraId="45EC5380" w14:textId="77777777" w:rsidR="00BC388A" w:rsidRDefault="00140473">
            <w:pPr>
              <w:widowControl w:val="0"/>
              <w:spacing w:after="0" w:line="240" w:lineRule="auto"/>
              <w:jc w:val="left"/>
              <w:rPr>
                <w:sz w:val="20"/>
                <w:szCs w:val="20"/>
              </w:rPr>
            </w:pPr>
            <w:r>
              <w:rPr>
                <w:sz w:val="20"/>
                <w:szCs w:val="20"/>
              </w:rPr>
              <w:br/>
            </w:r>
            <w:r>
              <w:rPr>
                <w:b/>
                <w:color w:val="FF9900"/>
                <w:sz w:val="20"/>
                <w:szCs w:val="20"/>
              </w:rPr>
              <w:t>RDA-R1.2-01M</w:t>
            </w:r>
            <w:r>
              <w:rPr>
                <w:sz w:val="20"/>
                <w:szCs w:val="20"/>
              </w:rPr>
              <w:t xml:space="preserve"> Metadata includes provenance information according to community-specific standards</w:t>
            </w:r>
          </w:p>
          <w:p w14:paraId="164C3C3B" w14:textId="77777777" w:rsidR="00BC388A" w:rsidRDefault="00140473">
            <w:pPr>
              <w:widowControl w:val="0"/>
              <w:spacing w:after="0" w:line="240" w:lineRule="auto"/>
              <w:jc w:val="left"/>
              <w:rPr>
                <w:sz w:val="20"/>
                <w:szCs w:val="20"/>
              </w:rPr>
            </w:pPr>
            <w:r>
              <w:rPr>
                <w:sz w:val="20"/>
                <w:szCs w:val="20"/>
              </w:rPr>
              <w:br/>
            </w:r>
            <w:r>
              <w:rPr>
                <w:b/>
                <w:color w:val="0000FF"/>
                <w:sz w:val="20"/>
                <w:szCs w:val="20"/>
              </w:rPr>
              <w:t>RDA-R1.2-02M</w:t>
            </w:r>
            <w:r>
              <w:rPr>
                <w:sz w:val="20"/>
                <w:szCs w:val="20"/>
              </w:rPr>
              <w:t xml:space="preserve"> Metadata includes provenance information according to a cross-community language</w:t>
            </w:r>
          </w:p>
          <w:p w14:paraId="05AF580A" w14:textId="77777777" w:rsidR="00BC388A" w:rsidRDefault="00140473">
            <w:pPr>
              <w:widowControl w:val="0"/>
              <w:spacing w:after="0" w:line="240" w:lineRule="auto"/>
              <w:jc w:val="left"/>
              <w:rPr>
                <w:sz w:val="20"/>
                <w:szCs w:val="20"/>
              </w:rPr>
            </w:pPr>
            <w:r>
              <w:rPr>
                <w:sz w:val="20"/>
                <w:szCs w:val="20"/>
              </w:rPr>
              <w:br/>
            </w:r>
            <w:r>
              <w:rPr>
                <w:b/>
                <w:color w:val="FF0000"/>
                <w:sz w:val="20"/>
                <w:szCs w:val="20"/>
              </w:rPr>
              <w:t>RDA-R1.3-01M</w:t>
            </w:r>
            <w:r>
              <w:rPr>
                <w:sz w:val="20"/>
                <w:szCs w:val="20"/>
              </w:rPr>
              <w:t xml:space="preserve"> Metadata complies with a community standard</w:t>
            </w:r>
            <w:r>
              <w:rPr>
                <w:sz w:val="20"/>
                <w:szCs w:val="20"/>
              </w:rPr>
              <w:br/>
            </w:r>
          </w:p>
          <w:p w14:paraId="32D11861" w14:textId="77777777" w:rsidR="00BC388A" w:rsidRDefault="00140473">
            <w:pPr>
              <w:widowControl w:val="0"/>
              <w:spacing w:after="0" w:line="240" w:lineRule="auto"/>
              <w:jc w:val="left"/>
              <w:rPr>
                <w:sz w:val="20"/>
                <w:szCs w:val="20"/>
              </w:rPr>
            </w:pPr>
            <w:r>
              <w:rPr>
                <w:b/>
                <w:color w:val="FF0000"/>
                <w:sz w:val="20"/>
                <w:szCs w:val="20"/>
              </w:rPr>
              <w:t>RDA-R1.3-01D</w:t>
            </w:r>
            <w:r>
              <w:rPr>
                <w:sz w:val="20"/>
                <w:szCs w:val="20"/>
              </w:rPr>
              <w:t xml:space="preserve"> Data complies with a community standard</w:t>
            </w:r>
          </w:p>
          <w:p w14:paraId="1AA1032E" w14:textId="77777777" w:rsidR="00BC388A" w:rsidRDefault="00140473">
            <w:pPr>
              <w:widowControl w:val="0"/>
              <w:spacing w:after="0" w:line="240" w:lineRule="auto"/>
              <w:jc w:val="left"/>
              <w:rPr>
                <w:sz w:val="20"/>
                <w:szCs w:val="20"/>
              </w:rPr>
            </w:pPr>
            <w:r>
              <w:rPr>
                <w:sz w:val="20"/>
                <w:szCs w:val="20"/>
              </w:rPr>
              <w:br/>
            </w:r>
            <w:r>
              <w:rPr>
                <w:b/>
                <w:color w:val="FF0000"/>
                <w:sz w:val="20"/>
                <w:szCs w:val="20"/>
              </w:rPr>
              <w:t>RDA-R1.3-02M</w:t>
            </w:r>
            <w:r>
              <w:rPr>
                <w:sz w:val="20"/>
                <w:szCs w:val="20"/>
              </w:rPr>
              <w:t xml:space="preserve"> Metadata is expressed in compliance with a machine-understandable community standard</w:t>
            </w:r>
          </w:p>
          <w:p w14:paraId="2E03A932" w14:textId="77777777" w:rsidR="00BC388A" w:rsidRDefault="00140473">
            <w:pPr>
              <w:widowControl w:val="0"/>
              <w:spacing w:after="0" w:line="240" w:lineRule="auto"/>
              <w:jc w:val="left"/>
              <w:rPr>
                <w:sz w:val="20"/>
                <w:szCs w:val="20"/>
              </w:rPr>
            </w:pPr>
            <w:r>
              <w:rPr>
                <w:sz w:val="20"/>
                <w:szCs w:val="20"/>
              </w:rPr>
              <w:br/>
            </w:r>
            <w:r>
              <w:rPr>
                <w:b/>
                <w:color w:val="FF9900"/>
                <w:sz w:val="20"/>
                <w:szCs w:val="20"/>
              </w:rPr>
              <w:t>RDA-R1.3-02D</w:t>
            </w:r>
            <w:r>
              <w:rPr>
                <w:sz w:val="20"/>
                <w:szCs w:val="20"/>
              </w:rPr>
              <w:t xml:space="preserve"> Data is expressed in compliance with a machine-understandable community standard</w:t>
            </w:r>
          </w:p>
        </w:tc>
        <w:tc>
          <w:tcPr>
            <w:tcW w:w="1815" w:type="dxa"/>
            <w:shd w:val="clear" w:color="auto" w:fill="FF9900"/>
            <w:tcMar>
              <w:top w:w="100" w:type="dxa"/>
              <w:left w:w="100" w:type="dxa"/>
              <w:bottom w:w="100" w:type="dxa"/>
              <w:right w:w="100" w:type="dxa"/>
            </w:tcMar>
          </w:tcPr>
          <w:p w14:paraId="5D7EA074" w14:textId="77777777" w:rsidR="00BC388A" w:rsidRDefault="00140473">
            <w:pPr>
              <w:widowControl w:val="0"/>
              <w:pBdr>
                <w:top w:val="nil"/>
                <w:left w:val="nil"/>
                <w:bottom w:val="nil"/>
                <w:right w:val="nil"/>
                <w:between w:val="nil"/>
              </w:pBdr>
              <w:spacing w:after="0" w:line="240" w:lineRule="auto"/>
              <w:jc w:val="left"/>
              <w:rPr>
                <w:b/>
              </w:rPr>
            </w:pPr>
            <w:r>
              <w:rPr>
                <w:b/>
              </w:rPr>
              <w:t>useGalaxy.eu</w:t>
            </w:r>
          </w:p>
        </w:tc>
        <w:tc>
          <w:tcPr>
            <w:tcW w:w="1755" w:type="dxa"/>
            <w:shd w:val="clear" w:color="auto" w:fill="FF9900"/>
            <w:tcMar>
              <w:top w:w="100" w:type="dxa"/>
              <w:left w:w="100" w:type="dxa"/>
              <w:bottom w:w="100" w:type="dxa"/>
              <w:right w:w="100" w:type="dxa"/>
            </w:tcMar>
          </w:tcPr>
          <w:p w14:paraId="5DDE724F" w14:textId="77777777" w:rsidR="00BC388A" w:rsidRDefault="00140473">
            <w:pPr>
              <w:widowControl w:val="0"/>
              <w:pBdr>
                <w:top w:val="nil"/>
                <w:left w:val="nil"/>
                <w:bottom w:val="nil"/>
                <w:right w:val="nil"/>
                <w:between w:val="nil"/>
              </w:pBdr>
              <w:spacing w:after="0" w:line="240" w:lineRule="auto"/>
              <w:jc w:val="left"/>
              <w:rPr>
                <w:b/>
              </w:rPr>
            </w:pPr>
            <w:r>
              <w:rPr>
                <w:b/>
              </w:rPr>
              <w:t>89%</w:t>
            </w:r>
          </w:p>
        </w:tc>
      </w:tr>
      <w:tr w:rsidR="00BC388A" w14:paraId="1667527F" w14:textId="77777777">
        <w:trPr>
          <w:trHeight w:val="1020"/>
        </w:trPr>
        <w:tc>
          <w:tcPr>
            <w:tcW w:w="5445" w:type="dxa"/>
            <w:vMerge/>
            <w:shd w:val="clear" w:color="auto" w:fill="auto"/>
            <w:tcMar>
              <w:top w:w="100" w:type="dxa"/>
              <w:left w:w="100" w:type="dxa"/>
              <w:bottom w:w="100" w:type="dxa"/>
              <w:right w:w="100" w:type="dxa"/>
            </w:tcMar>
          </w:tcPr>
          <w:p w14:paraId="188F575E" w14:textId="77777777" w:rsidR="00BC388A" w:rsidRDefault="00BC388A">
            <w:pPr>
              <w:widowControl w:val="0"/>
              <w:pBdr>
                <w:top w:val="nil"/>
                <w:left w:val="nil"/>
                <w:bottom w:val="nil"/>
                <w:right w:val="nil"/>
                <w:between w:val="nil"/>
              </w:pBdr>
              <w:spacing w:after="0" w:line="240" w:lineRule="auto"/>
              <w:jc w:val="left"/>
              <w:rPr>
                <w:sz w:val="20"/>
                <w:szCs w:val="20"/>
              </w:rPr>
            </w:pPr>
          </w:p>
        </w:tc>
        <w:tc>
          <w:tcPr>
            <w:tcW w:w="1815" w:type="dxa"/>
            <w:shd w:val="clear" w:color="auto" w:fill="93C47D"/>
            <w:tcMar>
              <w:top w:w="100" w:type="dxa"/>
              <w:left w:w="100" w:type="dxa"/>
              <w:bottom w:w="100" w:type="dxa"/>
              <w:right w:w="100" w:type="dxa"/>
            </w:tcMar>
          </w:tcPr>
          <w:p w14:paraId="4E177BED" w14:textId="77777777" w:rsidR="00BC388A" w:rsidRDefault="00140473">
            <w:pPr>
              <w:widowControl w:val="0"/>
              <w:spacing w:after="0" w:line="240" w:lineRule="auto"/>
              <w:jc w:val="left"/>
              <w:rPr>
                <w:b/>
              </w:rPr>
            </w:pPr>
            <w:r>
              <w:rPr>
                <w:b/>
              </w:rPr>
              <w:t>GBIF</w:t>
            </w:r>
          </w:p>
        </w:tc>
        <w:tc>
          <w:tcPr>
            <w:tcW w:w="1755" w:type="dxa"/>
            <w:shd w:val="clear" w:color="auto" w:fill="93C47D"/>
            <w:tcMar>
              <w:top w:w="100" w:type="dxa"/>
              <w:left w:w="100" w:type="dxa"/>
              <w:bottom w:w="100" w:type="dxa"/>
              <w:right w:w="100" w:type="dxa"/>
            </w:tcMar>
          </w:tcPr>
          <w:p w14:paraId="75FA1793" w14:textId="77777777" w:rsidR="00BC388A" w:rsidRDefault="00140473">
            <w:pPr>
              <w:widowControl w:val="0"/>
              <w:pBdr>
                <w:top w:val="nil"/>
                <w:left w:val="nil"/>
                <w:bottom w:val="nil"/>
                <w:right w:val="nil"/>
                <w:between w:val="nil"/>
              </w:pBdr>
              <w:spacing w:after="0" w:line="240" w:lineRule="auto"/>
              <w:jc w:val="left"/>
              <w:rPr>
                <w:b/>
              </w:rPr>
            </w:pPr>
            <w:r>
              <w:rPr>
                <w:b/>
              </w:rPr>
              <w:t>100%</w:t>
            </w:r>
          </w:p>
        </w:tc>
      </w:tr>
      <w:tr w:rsidR="00BC388A" w14:paraId="1B334BE9" w14:textId="77777777">
        <w:trPr>
          <w:trHeight w:val="1020"/>
        </w:trPr>
        <w:tc>
          <w:tcPr>
            <w:tcW w:w="5445" w:type="dxa"/>
            <w:vMerge/>
            <w:shd w:val="clear" w:color="auto" w:fill="auto"/>
            <w:tcMar>
              <w:top w:w="100" w:type="dxa"/>
              <w:left w:w="100" w:type="dxa"/>
              <w:bottom w:w="100" w:type="dxa"/>
              <w:right w:w="100" w:type="dxa"/>
            </w:tcMar>
          </w:tcPr>
          <w:p w14:paraId="14D4A1CA" w14:textId="77777777" w:rsidR="00BC388A" w:rsidRDefault="00BC388A">
            <w:pPr>
              <w:widowControl w:val="0"/>
              <w:pBdr>
                <w:top w:val="nil"/>
                <w:left w:val="nil"/>
                <w:bottom w:val="nil"/>
                <w:right w:val="nil"/>
                <w:between w:val="nil"/>
              </w:pBdr>
              <w:spacing w:after="0" w:line="240" w:lineRule="auto"/>
              <w:jc w:val="left"/>
              <w:rPr>
                <w:sz w:val="20"/>
                <w:szCs w:val="20"/>
              </w:rPr>
            </w:pPr>
          </w:p>
        </w:tc>
        <w:tc>
          <w:tcPr>
            <w:tcW w:w="1815" w:type="dxa"/>
            <w:shd w:val="clear" w:color="auto" w:fill="93C47D"/>
            <w:tcMar>
              <w:top w:w="100" w:type="dxa"/>
              <w:left w:w="100" w:type="dxa"/>
              <w:bottom w:w="100" w:type="dxa"/>
              <w:right w:w="100" w:type="dxa"/>
            </w:tcMar>
          </w:tcPr>
          <w:p w14:paraId="3C4F7915" w14:textId="77777777" w:rsidR="00BC388A" w:rsidRDefault="00140473">
            <w:pPr>
              <w:widowControl w:val="0"/>
              <w:spacing w:after="0" w:line="240" w:lineRule="auto"/>
              <w:jc w:val="left"/>
              <w:rPr>
                <w:b/>
              </w:rPr>
            </w:pPr>
            <w:r>
              <w:rPr>
                <w:b/>
              </w:rPr>
              <w:t>ENES</w:t>
            </w:r>
          </w:p>
        </w:tc>
        <w:tc>
          <w:tcPr>
            <w:tcW w:w="1755" w:type="dxa"/>
            <w:shd w:val="clear" w:color="auto" w:fill="93C47D"/>
            <w:tcMar>
              <w:top w:w="100" w:type="dxa"/>
              <w:left w:w="100" w:type="dxa"/>
              <w:bottom w:w="100" w:type="dxa"/>
              <w:right w:w="100" w:type="dxa"/>
            </w:tcMar>
          </w:tcPr>
          <w:p w14:paraId="4FE4E508" w14:textId="77777777" w:rsidR="00BC388A" w:rsidRDefault="00140473">
            <w:pPr>
              <w:widowControl w:val="0"/>
              <w:pBdr>
                <w:top w:val="nil"/>
                <w:left w:val="nil"/>
                <w:bottom w:val="nil"/>
                <w:right w:val="nil"/>
                <w:between w:val="nil"/>
              </w:pBdr>
              <w:spacing w:after="0" w:line="240" w:lineRule="auto"/>
              <w:jc w:val="left"/>
              <w:rPr>
                <w:b/>
              </w:rPr>
            </w:pPr>
            <w:r>
              <w:rPr>
                <w:b/>
              </w:rPr>
              <w:t>100%</w:t>
            </w:r>
          </w:p>
        </w:tc>
      </w:tr>
      <w:tr w:rsidR="00BC388A" w14:paraId="5720915F" w14:textId="77777777">
        <w:trPr>
          <w:trHeight w:val="1020"/>
        </w:trPr>
        <w:tc>
          <w:tcPr>
            <w:tcW w:w="5445" w:type="dxa"/>
            <w:vMerge/>
            <w:shd w:val="clear" w:color="auto" w:fill="auto"/>
            <w:tcMar>
              <w:top w:w="100" w:type="dxa"/>
              <w:left w:w="100" w:type="dxa"/>
              <w:bottom w:w="100" w:type="dxa"/>
              <w:right w:w="100" w:type="dxa"/>
            </w:tcMar>
          </w:tcPr>
          <w:p w14:paraId="19F3E19E" w14:textId="77777777" w:rsidR="00BC388A" w:rsidRDefault="00BC388A">
            <w:pPr>
              <w:widowControl w:val="0"/>
              <w:pBdr>
                <w:top w:val="nil"/>
                <w:left w:val="nil"/>
                <w:bottom w:val="nil"/>
                <w:right w:val="nil"/>
                <w:between w:val="nil"/>
              </w:pBdr>
              <w:spacing w:after="0" w:line="240" w:lineRule="auto"/>
              <w:jc w:val="left"/>
              <w:rPr>
                <w:sz w:val="20"/>
                <w:szCs w:val="20"/>
              </w:rPr>
            </w:pPr>
          </w:p>
        </w:tc>
        <w:tc>
          <w:tcPr>
            <w:tcW w:w="1815" w:type="dxa"/>
            <w:shd w:val="clear" w:color="auto" w:fill="FF9900"/>
            <w:tcMar>
              <w:top w:w="100" w:type="dxa"/>
              <w:left w:w="100" w:type="dxa"/>
              <w:bottom w:w="100" w:type="dxa"/>
              <w:right w:w="100" w:type="dxa"/>
            </w:tcMar>
          </w:tcPr>
          <w:p w14:paraId="3C23382D" w14:textId="77777777" w:rsidR="00BC388A" w:rsidRDefault="00140473">
            <w:pPr>
              <w:widowControl w:val="0"/>
              <w:spacing w:after="0" w:line="240" w:lineRule="auto"/>
              <w:jc w:val="left"/>
              <w:rPr>
                <w:b/>
              </w:rPr>
            </w:pPr>
            <w:r>
              <w:rPr>
                <w:b/>
              </w:rPr>
              <w:t>LOFAR Science Project</w:t>
            </w:r>
          </w:p>
        </w:tc>
        <w:tc>
          <w:tcPr>
            <w:tcW w:w="1755" w:type="dxa"/>
            <w:shd w:val="clear" w:color="auto" w:fill="FF9900"/>
            <w:tcMar>
              <w:top w:w="100" w:type="dxa"/>
              <w:left w:w="100" w:type="dxa"/>
              <w:bottom w:w="100" w:type="dxa"/>
              <w:right w:w="100" w:type="dxa"/>
            </w:tcMar>
          </w:tcPr>
          <w:p w14:paraId="2E2EDEA8" w14:textId="77777777" w:rsidR="00BC388A" w:rsidRDefault="00140473">
            <w:pPr>
              <w:widowControl w:val="0"/>
              <w:pBdr>
                <w:top w:val="nil"/>
                <w:left w:val="nil"/>
                <w:bottom w:val="nil"/>
                <w:right w:val="nil"/>
                <w:between w:val="nil"/>
              </w:pBdr>
              <w:spacing w:after="0" w:line="240" w:lineRule="auto"/>
              <w:jc w:val="left"/>
              <w:rPr>
                <w:b/>
              </w:rPr>
            </w:pPr>
            <w:r>
              <w:rPr>
                <w:b/>
              </w:rPr>
              <w:t>78%</w:t>
            </w:r>
          </w:p>
        </w:tc>
      </w:tr>
      <w:tr w:rsidR="00BC388A" w14:paraId="5A5A6955" w14:textId="77777777">
        <w:trPr>
          <w:trHeight w:val="1020"/>
        </w:trPr>
        <w:tc>
          <w:tcPr>
            <w:tcW w:w="5445" w:type="dxa"/>
            <w:vMerge/>
            <w:shd w:val="clear" w:color="auto" w:fill="auto"/>
            <w:tcMar>
              <w:top w:w="100" w:type="dxa"/>
              <w:left w:w="100" w:type="dxa"/>
              <w:bottom w:w="100" w:type="dxa"/>
              <w:right w:w="100" w:type="dxa"/>
            </w:tcMar>
          </w:tcPr>
          <w:p w14:paraId="1775C826" w14:textId="77777777" w:rsidR="00BC388A" w:rsidRDefault="00BC388A">
            <w:pPr>
              <w:widowControl w:val="0"/>
              <w:pBdr>
                <w:top w:val="nil"/>
                <w:left w:val="nil"/>
                <w:bottom w:val="nil"/>
                <w:right w:val="nil"/>
                <w:between w:val="nil"/>
              </w:pBdr>
              <w:spacing w:after="0" w:line="240" w:lineRule="auto"/>
              <w:jc w:val="left"/>
              <w:rPr>
                <w:sz w:val="20"/>
                <w:szCs w:val="20"/>
              </w:rPr>
            </w:pPr>
          </w:p>
        </w:tc>
        <w:tc>
          <w:tcPr>
            <w:tcW w:w="1815" w:type="dxa"/>
            <w:shd w:val="clear" w:color="auto" w:fill="FF9900"/>
            <w:tcMar>
              <w:top w:w="100" w:type="dxa"/>
              <w:left w:w="100" w:type="dxa"/>
              <w:bottom w:w="100" w:type="dxa"/>
              <w:right w:w="100" w:type="dxa"/>
            </w:tcMar>
          </w:tcPr>
          <w:p w14:paraId="1C8C1D18" w14:textId="77777777" w:rsidR="00BC388A" w:rsidRDefault="00140473">
            <w:pPr>
              <w:widowControl w:val="0"/>
              <w:spacing w:after="0" w:line="240" w:lineRule="auto"/>
              <w:jc w:val="left"/>
              <w:rPr>
                <w:b/>
              </w:rPr>
            </w:pPr>
            <w:r>
              <w:rPr>
                <w:b/>
              </w:rPr>
              <w:t>EMSO ERIC</w:t>
            </w:r>
          </w:p>
        </w:tc>
        <w:tc>
          <w:tcPr>
            <w:tcW w:w="1755" w:type="dxa"/>
            <w:shd w:val="clear" w:color="auto" w:fill="FF9900"/>
            <w:tcMar>
              <w:top w:w="100" w:type="dxa"/>
              <w:left w:w="100" w:type="dxa"/>
              <w:bottom w:w="100" w:type="dxa"/>
              <w:right w:w="100" w:type="dxa"/>
            </w:tcMar>
          </w:tcPr>
          <w:p w14:paraId="4644D98A" w14:textId="77777777" w:rsidR="00BC388A" w:rsidRDefault="00140473">
            <w:pPr>
              <w:widowControl w:val="0"/>
              <w:pBdr>
                <w:top w:val="nil"/>
                <w:left w:val="nil"/>
                <w:bottom w:val="nil"/>
                <w:right w:val="nil"/>
                <w:between w:val="nil"/>
              </w:pBdr>
              <w:spacing w:after="0" w:line="240" w:lineRule="auto"/>
              <w:jc w:val="left"/>
              <w:rPr>
                <w:b/>
              </w:rPr>
            </w:pPr>
            <w:r>
              <w:rPr>
                <w:b/>
              </w:rPr>
              <w:t>66%</w:t>
            </w:r>
          </w:p>
        </w:tc>
      </w:tr>
      <w:tr w:rsidR="00BC388A" w14:paraId="78CD34DD" w14:textId="77777777">
        <w:trPr>
          <w:trHeight w:val="1020"/>
        </w:trPr>
        <w:tc>
          <w:tcPr>
            <w:tcW w:w="5445" w:type="dxa"/>
            <w:vMerge/>
            <w:shd w:val="clear" w:color="auto" w:fill="auto"/>
            <w:tcMar>
              <w:top w:w="100" w:type="dxa"/>
              <w:left w:w="100" w:type="dxa"/>
              <w:bottom w:w="100" w:type="dxa"/>
              <w:right w:w="100" w:type="dxa"/>
            </w:tcMar>
          </w:tcPr>
          <w:p w14:paraId="5987D8CA" w14:textId="77777777" w:rsidR="00BC388A" w:rsidRDefault="00BC388A">
            <w:pPr>
              <w:widowControl w:val="0"/>
              <w:pBdr>
                <w:top w:val="nil"/>
                <w:left w:val="nil"/>
                <w:bottom w:val="nil"/>
                <w:right w:val="nil"/>
                <w:between w:val="nil"/>
              </w:pBdr>
              <w:spacing w:after="0" w:line="240" w:lineRule="auto"/>
              <w:jc w:val="left"/>
              <w:rPr>
                <w:sz w:val="20"/>
                <w:szCs w:val="20"/>
              </w:rPr>
            </w:pPr>
          </w:p>
        </w:tc>
        <w:tc>
          <w:tcPr>
            <w:tcW w:w="1815" w:type="dxa"/>
            <w:shd w:val="clear" w:color="auto" w:fill="93C47D"/>
            <w:tcMar>
              <w:top w:w="100" w:type="dxa"/>
              <w:left w:w="100" w:type="dxa"/>
              <w:bottom w:w="100" w:type="dxa"/>
              <w:right w:w="100" w:type="dxa"/>
            </w:tcMar>
          </w:tcPr>
          <w:p w14:paraId="4B94A156" w14:textId="77777777" w:rsidR="00BC388A" w:rsidRDefault="00140473">
            <w:pPr>
              <w:widowControl w:val="0"/>
              <w:spacing w:after="0" w:line="240" w:lineRule="auto"/>
              <w:jc w:val="left"/>
              <w:rPr>
                <w:b/>
              </w:rPr>
            </w:pPr>
            <w:proofErr w:type="spellStart"/>
            <w:r>
              <w:rPr>
                <w:b/>
              </w:rPr>
              <w:t>SeaDataNet</w:t>
            </w:r>
            <w:proofErr w:type="spellEnd"/>
          </w:p>
        </w:tc>
        <w:tc>
          <w:tcPr>
            <w:tcW w:w="1755" w:type="dxa"/>
            <w:shd w:val="clear" w:color="auto" w:fill="93C47D"/>
            <w:tcMar>
              <w:top w:w="100" w:type="dxa"/>
              <w:left w:w="100" w:type="dxa"/>
              <w:bottom w:w="100" w:type="dxa"/>
              <w:right w:w="100" w:type="dxa"/>
            </w:tcMar>
          </w:tcPr>
          <w:p w14:paraId="1FFE45EC" w14:textId="77777777" w:rsidR="00BC388A" w:rsidRDefault="00140473">
            <w:pPr>
              <w:widowControl w:val="0"/>
              <w:pBdr>
                <w:top w:val="nil"/>
                <w:left w:val="nil"/>
                <w:bottom w:val="nil"/>
                <w:right w:val="nil"/>
                <w:between w:val="nil"/>
              </w:pBdr>
              <w:spacing w:after="0" w:line="240" w:lineRule="auto"/>
              <w:jc w:val="left"/>
              <w:rPr>
                <w:b/>
              </w:rPr>
            </w:pPr>
            <w:r>
              <w:rPr>
                <w:b/>
              </w:rPr>
              <w:t>100%</w:t>
            </w:r>
          </w:p>
        </w:tc>
      </w:tr>
      <w:tr w:rsidR="00BC388A" w14:paraId="1B0BBB81" w14:textId="77777777">
        <w:trPr>
          <w:trHeight w:val="1020"/>
        </w:trPr>
        <w:tc>
          <w:tcPr>
            <w:tcW w:w="5445" w:type="dxa"/>
            <w:vMerge/>
            <w:shd w:val="clear" w:color="auto" w:fill="auto"/>
            <w:tcMar>
              <w:top w:w="100" w:type="dxa"/>
              <w:left w:w="100" w:type="dxa"/>
              <w:bottom w:w="100" w:type="dxa"/>
              <w:right w:w="100" w:type="dxa"/>
            </w:tcMar>
          </w:tcPr>
          <w:p w14:paraId="73720316" w14:textId="77777777" w:rsidR="00BC388A" w:rsidRDefault="00BC388A">
            <w:pPr>
              <w:widowControl w:val="0"/>
              <w:pBdr>
                <w:top w:val="nil"/>
                <w:left w:val="nil"/>
                <w:bottom w:val="nil"/>
                <w:right w:val="nil"/>
                <w:between w:val="nil"/>
              </w:pBdr>
              <w:spacing w:after="0" w:line="240" w:lineRule="auto"/>
              <w:jc w:val="left"/>
              <w:rPr>
                <w:sz w:val="20"/>
                <w:szCs w:val="20"/>
              </w:rPr>
            </w:pPr>
          </w:p>
        </w:tc>
        <w:tc>
          <w:tcPr>
            <w:tcW w:w="1815" w:type="dxa"/>
            <w:shd w:val="clear" w:color="auto" w:fill="93C47D"/>
            <w:tcMar>
              <w:top w:w="100" w:type="dxa"/>
              <w:left w:w="100" w:type="dxa"/>
              <w:bottom w:w="100" w:type="dxa"/>
              <w:right w:w="100" w:type="dxa"/>
            </w:tcMar>
          </w:tcPr>
          <w:p w14:paraId="77ED461F" w14:textId="77777777" w:rsidR="00BC388A" w:rsidRDefault="00140473">
            <w:pPr>
              <w:widowControl w:val="0"/>
              <w:spacing w:after="0" w:line="240" w:lineRule="auto"/>
              <w:jc w:val="left"/>
              <w:rPr>
                <w:b/>
              </w:rPr>
            </w:pPr>
            <w:r>
              <w:rPr>
                <w:b/>
              </w:rPr>
              <w:t>Disaster Mitigation and Agriculture</w:t>
            </w:r>
          </w:p>
        </w:tc>
        <w:tc>
          <w:tcPr>
            <w:tcW w:w="1755" w:type="dxa"/>
            <w:shd w:val="clear" w:color="auto" w:fill="93C47D"/>
            <w:tcMar>
              <w:top w:w="100" w:type="dxa"/>
              <w:left w:w="100" w:type="dxa"/>
              <w:bottom w:w="100" w:type="dxa"/>
              <w:right w:w="100" w:type="dxa"/>
            </w:tcMar>
          </w:tcPr>
          <w:p w14:paraId="64A7F916" w14:textId="77777777" w:rsidR="00BC388A" w:rsidRDefault="00140473">
            <w:pPr>
              <w:widowControl w:val="0"/>
              <w:pBdr>
                <w:top w:val="nil"/>
                <w:left w:val="nil"/>
                <w:bottom w:val="nil"/>
                <w:right w:val="nil"/>
                <w:between w:val="nil"/>
              </w:pBdr>
              <w:spacing w:after="0" w:line="240" w:lineRule="auto"/>
              <w:jc w:val="left"/>
              <w:rPr>
                <w:b/>
              </w:rPr>
            </w:pPr>
            <w:r>
              <w:rPr>
                <w:b/>
              </w:rPr>
              <w:t>100%</w:t>
            </w:r>
          </w:p>
        </w:tc>
      </w:tr>
    </w:tbl>
    <w:p w14:paraId="2C24F6AB" w14:textId="77777777" w:rsidR="00BC388A" w:rsidRDefault="00BC388A">
      <w:pPr>
        <w:jc w:val="center"/>
        <w:rPr>
          <w:b/>
          <w:sz w:val="20"/>
          <w:szCs w:val="20"/>
        </w:rPr>
      </w:pPr>
    </w:p>
    <w:p w14:paraId="2117B772" w14:textId="20C09081" w:rsidR="00BC388A" w:rsidRDefault="00140473" w:rsidP="00567C6D">
      <w:pPr>
        <w:pStyle w:val="Heading2"/>
        <w:numPr>
          <w:ilvl w:val="0"/>
          <w:numId w:val="0"/>
        </w:numPr>
      </w:pPr>
      <w:bookmarkStart w:id="24" w:name="_Toc90565254"/>
      <w:r>
        <w:t>6.</w:t>
      </w:r>
      <w:r w:rsidR="00D10AF5">
        <w:t>7</w:t>
      </w:r>
      <w:r>
        <w:t>. Overall findings</w:t>
      </w:r>
      <w:bookmarkEnd w:id="24"/>
    </w:p>
    <w:p w14:paraId="25E5422B" w14:textId="77777777" w:rsidR="00BC388A" w:rsidRDefault="00140473">
      <w:r>
        <w:t xml:space="preserve">Table 9 brings together the first FAIR assessments of the EGI-ACE Data Spaces into a single view. </w:t>
      </w:r>
    </w:p>
    <w:p w14:paraId="67283679" w14:textId="77777777" w:rsidR="00BC388A" w:rsidRDefault="00140473">
      <w:pPr>
        <w:spacing w:before="240" w:after="240"/>
      </w:pPr>
      <w:r>
        <w:t xml:space="preserve">Findability, Accessibility and Reusability features are overall quite high, nearly all the studied data spaces are compliant or near-compliant. The project and the communities should harvest this value through demonstrators and articles. </w:t>
      </w:r>
      <w:proofErr w:type="spellStart"/>
      <w:r>
        <w:t>SeaDataNet</w:t>
      </w:r>
      <w:proofErr w:type="spellEnd"/>
      <w:r>
        <w:t xml:space="preserve"> is 100% compliant with the FAIR indicators  and </w:t>
      </w:r>
      <w:proofErr w:type="spellStart"/>
      <w:r>
        <w:t>FAIRness</w:t>
      </w:r>
      <w:proofErr w:type="spellEnd"/>
      <w:r>
        <w:t xml:space="preserve"> success stories should be harvested from it. </w:t>
      </w:r>
    </w:p>
    <w:p w14:paraId="0CBEAB68" w14:textId="77777777" w:rsidR="00BC388A" w:rsidRDefault="00140473">
      <w:pPr>
        <w:spacing w:before="240" w:after="240"/>
      </w:pPr>
      <w:r>
        <w:lastRenderedPageBreak/>
        <w:t xml:space="preserve">The EMSO-ERIC Data Space is compliant with the Findable and Reusable indicators, further work on improving and </w:t>
      </w:r>
      <w:proofErr w:type="spellStart"/>
      <w:r>
        <w:t>harmonsing</w:t>
      </w:r>
      <w:proofErr w:type="spellEnd"/>
      <w:r>
        <w:t xml:space="preserve"> metadata schemes could bring the Interoperability area also to compliance, resulting in another data space that is compliant with all the four F-A-I-R areas.</w:t>
      </w:r>
    </w:p>
    <w:p w14:paraId="09C27A65" w14:textId="77777777" w:rsidR="00BC388A" w:rsidRDefault="00140473">
      <w:pPr>
        <w:spacing w:before="240" w:after="240"/>
      </w:pPr>
      <w:r>
        <w:t xml:space="preserve">Concerning future improvements, the Findable area of the Disaster Mitigation and Agriculture (one of the unfunded tasks) is the most critical development area. While Interoperability is the least satisfied area overall, this area does not have any 'essential' conformance indicator, has only important and 'useful' ones, non-conformance is not as critical here as for other areas. At the same time the studied data spaces have the biggest space for improvement overall in this area. Note however, that EGI-ACE does not include development effort specifically for </w:t>
      </w:r>
      <w:proofErr w:type="spellStart"/>
      <w:r>
        <w:t>FAIRness</w:t>
      </w:r>
      <w:proofErr w:type="spellEnd"/>
      <w:r>
        <w:t xml:space="preserve">. </w:t>
      </w:r>
    </w:p>
    <w:p w14:paraId="04DE1E5B" w14:textId="77777777" w:rsidR="00BC388A" w:rsidRDefault="00140473">
      <w:pPr>
        <w:spacing w:before="240" w:after="240"/>
      </w:pPr>
      <w:r>
        <w:t xml:space="preserve">The findings about the 4 computational platforms in WP5 give a warning for the project to treat these differently in similar activities, and probably also distinguish them from the rest of the data spaces in project communication and dissemination activities. </w:t>
      </w:r>
    </w:p>
    <w:p w14:paraId="583F3C3C" w14:textId="77777777" w:rsidR="00BC388A" w:rsidRDefault="00140473">
      <w:r>
        <w:t xml:space="preserve">Overall, the </w:t>
      </w:r>
      <w:proofErr w:type="spellStart"/>
      <w:r>
        <w:t>FAIRness</w:t>
      </w:r>
      <w:proofErr w:type="spellEnd"/>
      <w:r>
        <w:t xml:space="preserve"> maturity of the EGI-ACE Data Spaces will be re-assessed again at month 24 (December 2022), for the D2.8 deliverable. </w:t>
      </w:r>
    </w:p>
    <w:p w14:paraId="0CF6A5F6" w14:textId="77777777" w:rsidR="00BC388A" w:rsidRDefault="00BC388A"/>
    <w:p w14:paraId="6D4991E0" w14:textId="77777777" w:rsidR="00BC388A" w:rsidRDefault="00140473">
      <w:pPr>
        <w:rPr>
          <w:sz w:val="20"/>
          <w:szCs w:val="20"/>
        </w:rPr>
      </w:pPr>
      <w:r>
        <w:rPr>
          <w:sz w:val="20"/>
          <w:szCs w:val="20"/>
        </w:rPr>
        <w:t xml:space="preserve">Table 9: Overall summary of the </w:t>
      </w:r>
      <w:proofErr w:type="spellStart"/>
      <w:r>
        <w:rPr>
          <w:sz w:val="20"/>
          <w:szCs w:val="20"/>
        </w:rPr>
        <w:t>FAIRness</w:t>
      </w:r>
      <w:proofErr w:type="spellEnd"/>
      <w:r>
        <w:rPr>
          <w:sz w:val="20"/>
          <w:szCs w:val="20"/>
        </w:rPr>
        <w:t xml:space="preserve"> assessment of the EGI-ACE Data Spaces. </w:t>
      </w:r>
    </w:p>
    <w:tbl>
      <w:tblPr>
        <w:tblStyle w:val="af3"/>
        <w:tblW w:w="904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5"/>
        <w:gridCol w:w="1710"/>
        <w:gridCol w:w="1800"/>
        <w:gridCol w:w="2085"/>
        <w:gridCol w:w="1785"/>
      </w:tblGrid>
      <w:tr w:rsidR="00BC388A" w14:paraId="0A10D766" w14:textId="77777777">
        <w:trPr>
          <w:jc w:val="center"/>
        </w:trPr>
        <w:tc>
          <w:tcPr>
            <w:tcW w:w="1665" w:type="dxa"/>
            <w:shd w:val="clear" w:color="auto" w:fill="C9DAF8"/>
            <w:tcMar>
              <w:top w:w="100" w:type="dxa"/>
              <w:left w:w="100" w:type="dxa"/>
              <w:bottom w:w="100" w:type="dxa"/>
              <w:right w:w="100" w:type="dxa"/>
            </w:tcMar>
          </w:tcPr>
          <w:p w14:paraId="3A6E3177" w14:textId="77777777" w:rsidR="00BC388A" w:rsidRDefault="00140473">
            <w:pPr>
              <w:widowControl w:val="0"/>
              <w:pBdr>
                <w:top w:val="nil"/>
                <w:left w:val="nil"/>
                <w:bottom w:val="nil"/>
                <w:right w:val="nil"/>
                <w:between w:val="nil"/>
              </w:pBdr>
              <w:spacing w:after="0" w:line="240" w:lineRule="auto"/>
              <w:jc w:val="left"/>
              <w:rPr>
                <w:b/>
                <w:sz w:val="20"/>
                <w:szCs w:val="20"/>
              </w:rPr>
            </w:pPr>
            <w:r>
              <w:rPr>
                <w:b/>
                <w:sz w:val="20"/>
                <w:szCs w:val="20"/>
              </w:rPr>
              <w:t>Data Space</w:t>
            </w:r>
          </w:p>
        </w:tc>
        <w:tc>
          <w:tcPr>
            <w:tcW w:w="1710" w:type="dxa"/>
            <w:shd w:val="clear" w:color="auto" w:fill="C9DAF8"/>
            <w:tcMar>
              <w:top w:w="100" w:type="dxa"/>
              <w:left w:w="100" w:type="dxa"/>
              <w:bottom w:w="100" w:type="dxa"/>
              <w:right w:w="100" w:type="dxa"/>
            </w:tcMar>
          </w:tcPr>
          <w:p w14:paraId="306C7C12" w14:textId="77777777" w:rsidR="00BC388A" w:rsidRDefault="00140473">
            <w:pPr>
              <w:widowControl w:val="0"/>
              <w:pBdr>
                <w:top w:val="nil"/>
                <w:left w:val="nil"/>
                <w:bottom w:val="nil"/>
                <w:right w:val="nil"/>
                <w:between w:val="nil"/>
              </w:pBdr>
              <w:spacing w:after="0" w:line="240" w:lineRule="auto"/>
              <w:jc w:val="left"/>
              <w:rPr>
                <w:b/>
                <w:sz w:val="20"/>
                <w:szCs w:val="20"/>
              </w:rPr>
            </w:pPr>
            <w:r>
              <w:rPr>
                <w:b/>
                <w:sz w:val="20"/>
                <w:szCs w:val="20"/>
              </w:rPr>
              <w:t>Findability (F)</w:t>
            </w:r>
          </w:p>
        </w:tc>
        <w:tc>
          <w:tcPr>
            <w:tcW w:w="1800" w:type="dxa"/>
            <w:shd w:val="clear" w:color="auto" w:fill="C9DAF8"/>
            <w:tcMar>
              <w:top w:w="100" w:type="dxa"/>
              <w:left w:w="100" w:type="dxa"/>
              <w:bottom w:w="100" w:type="dxa"/>
              <w:right w:w="100" w:type="dxa"/>
            </w:tcMar>
          </w:tcPr>
          <w:p w14:paraId="4CE09036" w14:textId="77777777" w:rsidR="00BC388A" w:rsidRDefault="00140473">
            <w:pPr>
              <w:widowControl w:val="0"/>
              <w:pBdr>
                <w:top w:val="nil"/>
                <w:left w:val="nil"/>
                <w:bottom w:val="nil"/>
                <w:right w:val="nil"/>
                <w:between w:val="nil"/>
              </w:pBdr>
              <w:spacing w:after="0" w:line="240" w:lineRule="auto"/>
              <w:jc w:val="left"/>
              <w:rPr>
                <w:b/>
                <w:sz w:val="20"/>
                <w:szCs w:val="20"/>
              </w:rPr>
            </w:pPr>
            <w:r>
              <w:rPr>
                <w:b/>
                <w:sz w:val="20"/>
                <w:szCs w:val="20"/>
              </w:rPr>
              <w:t>Accessible (A)</w:t>
            </w:r>
          </w:p>
        </w:tc>
        <w:tc>
          <w:tcPr>
            <w:tcW w:w="2085" w:type="dxa"/>
            <w:shd w:val="clear" w:color="auto" w:fill="C9DAF8"/>
            <w:tcMar>
              <w:top w:w="100" w:type="dxa"/>
              <w:left w:w="100" w:type="dxa"/>
              <w:bottom w:w="100" w:type="dxa"/>
              <w:right w:w="100" w:type="dxa"/>
            </w:tcMar>
          </w:tcPr>
          <w:p w14:paraId="5E094101" w14:textId="77777777" w:rsidR="00BC388A" w:rsidRDefault="00140473">
            <w:pPr>
              <w:widowControl w:val="0"/>
              <w:pBdr>
                <w:top w:val="nil"/>
                <w:left w:val="nil"/>
                <w:bottom w:val="nil"/>
                <w:right w:val="nil"/>
                <w:between w:val="nil"/>
              </w:pBdr>
              <w:spacing w:after="0" w:line="240" w:lineRule="auto"/>
              <w:jc w:val="left"/>
              <w:rPr>
                <w:b/>
                <w:sz w:val="20"/>
                <w:szCs w:val="20"/>
              </w:rPr>
            </w:pPr>
            <w:r>
              <w:rPr>
                <w:b/>
                <w:sz w:val="20"/>
                <w:szCs w:val="20"/>
              </w:rPr>
              <w:t>Interoperable (I)</w:t>
            </w:r>
          </w:p>
        </w:tc>
        <w:tc>
          <w:tcPr>
            <w:tcW w:w="1785" w:type="dxa"/>
            <w:shd w:val="clear" w:color="auto" w:fill="C9DAF8"/>
            <w:tcMar>
              <w:top w:w="100" w:type="dxa"/>
              <w:left w:w="100" w:type="dxa"/>
              <w:bottom w:w="100" w:type="dxa"/>
              <w:right w:w="100" w:type="dxa"/>
            </w:tcMar>
          </w:tcPr>
          <w:p w14:paraId="240FB7F4" w14:textId="77777777" w:rsidR="00BC388A" w:rsidRDefault="00140473">
            <w:pPr>
              <w:widowControl w:val="0"/>
              <w:pBdr>
                <w:top w:val="nil"/>
                <w:left w:val="nil"/>
                <w:bottom w:val="nil"/>
                <w:right w:val="nil"/>
                <w:between w:val="nil"/>
              </w:pBdr>
              <w:spacing w:after="0" w:line="240" w:lineRule="auto"/>
              <w:jc w:val="left"/>
              <w:rPr>
                <w:b/>
                <w:sz w:val="20"/>
                <w:szCs w:val="20"/>
              </w:rPr>
            </w:pPr>
            <w:r>
              <w:rPr>
                <w:b/>
                <w:sz w:val="20"/>
                <w:szCs w:val="20"/>
              </w:rPr>
              <w:t>Reusability (R)</w:t>
            </w:r>
          </w:p>
        </w:tc>
      </w:tr>
      <w:tr w:rsidR="00BC388A" w14:paraId="3B974438" w14:textId="77777777">
        <w:trPr>
          <w:jc w:val="center"/>
        </w:trPr>
        <w:tc>
          <w:tcPr>
            <w:tcW w:w="1665" w:type="dxa"/>
            <w:shd w:val="clear" w:color="auto" w:fill="auto"/>
            <w:tcMar>
              <w:top w:w="100" w:type="dxa"/>
              <w:left w:w="100" w:type="dxa"/>
              <w:bottom w:w="100" w:type="dxa"/>
              <w:right w:w="100" w:type="dxa"/>
            </w:tcMar>
          </w:tcPr>
          <w:p w14:paraId="432409AB" w14:textId="77777777" w:rsidR="00BC388A" w:rsidRDefault="00140473">
            <w:pPr>
              <w:widowControl w:val="0"/>
              <w:spacing w:after="0" w:line="240" w:lineRule="auto"/>
              <w:jc w:val="left"/>
              <w:rPr>
                <w:sz w:val="20"/>
                <w:szCs w:val="20"/>
              </w:rPr>
            </w:pPr>
            <w:r>
              <w:rPr>
                <w:sz w:val="20"/>
                <w:szCs w:val="20"/>
              </w:rPr>
              <w:t>useGalaxy.eu</w:t>
            </w:r>
          </w:p>
        </w:tc>
        <w:tc>
          <w:tcPr>
            <w:tcW w:w="1710" w:type="dxa"/>
            <w:shd w:val="clear" w:color="auto" w:fill="93C47D"/>
            <w:tcMar>
              <w:top w:w="100" w:type="dxa"/>
              <w:left w:w="100" w:type="dxa"/>
              <w:bottom w:w="100" w:type="dxa"/>
              <w:right w:w="100" w:type="dxa"/>
            </w:tcMar>
          </w:tcPr>
          <w:p w14:paraId="5893C601" w14:textId="77777777" w:rsidR="00BC388A" w:rsidRDefault="00140473">
            <w:pPr>
              <w:widowControl w:val="0"/>
              <w:spacing w:after="0" w:line="240" w:lineRule="auto"/>
              <w:jc w:val="left"/>
              <w:rPr>
                <w:b/>
                <w:sz w:val="20"/>
                <w:szCs w:val="20"/>
              </w:rPr>
            </w:pPr>
            <w:r>
              <w:rPr>
                <w:b/>
                <w:sz w:val="20"/>
                <w:szCs w:val="20"/>
              </w:rPr>
              <w:t xml:space="preserve">100% </w:t>
            </w:r>
            <w:r>
              <w:rPr>
                <w:sz w:val="20"/>
                <w:szCs w:val="20"/>
              </w:rPr>
              <w:br/>
              <w:t>Compliant</w:t>
            </w:r>
          </w:p>
        </w:tc>
        <w:tc>
          <w:tcPr>
            <w:tcW w:w="1800" w:type="dxa"/>
            <w:shd w:val="clear" w:color="auto" w:fill="FF9900"/>
            <w:tcMar>
              <w:top w:w="100" w:type="dxa"/>
              <w:left w:w="100" w:type="dxa"/>
              <w:bottom w:w="100" w:type="dxa"/>
              <w:right w:w="100" w:type="dxa"/>
            </w:tcMar>
          </w:tcPr>
          <w:p w14:paraId="381FE8E2" w14:textId="77777777" w:rsidR="00BC388A" w:rsidRDefault="00140473">
            <w:pPr>
              <w:widowControl w:val="0"/>
              <w:spacing w:after="0" w:line="240" w:lineRule="auto"/>
              <w:jc w:val="left"/>
              <w:rPr>
                <w:b/>
                <w:sz w:val="20"/>
                <w:szCs w:val="20"/>
              </w:rPr>
            </w:pPr>
            <w:r>
              <w:rPr>
                <w:b/>
                <w:sz w:val="20"/>
                <w:szCs w:val="20"/>
              </w:rPr>
              <w:t>82%</w:t>
            </w:r>
            <w:r>
              <w:rPr>
                <w:sz w:val="20"/>
                <w:szCs w:val="20"/>
              </w:rPr>
              <w:br/>
              <w:t>Compliant</w:t>
            </w:r>
          </w:p>
        </w:tc>
        <w:tc>
          <w:tcPr>
            <w:tcW w:w="2085" w:type="dxa"/>
            <w:shd w:val="clear" w:color="auto" w:fill="FF9900"/>
            <w:tcMar>
              <w:top w:w="100" w:type="dxa"/>
              <w:left w:w="100" w:type="dxa"/>
              <w:bottom w:w="100" w:type="dxa"/>
              <w:right w:w="100" w:type="dxa"/>
            </w:tcMar>
          </w:tcPr>
          <w:p w14:paraId="3B35FBBF" w14:textId="77777777" w:rsidR="00BC388A" w:rsidRDefault="00140473">
            <w:pPr>
              <w:widowControl w:val="0"/>
              <w:spacing w:after="0" w:line="240" w:lineRule="auto"/>
              <w:jc w:val="left"/>
              <w:rPr>
                <w:sz w:val="20"/>
                <w:szCs w:val="20"/>
              </w:rPr>
            </w:pPr>
            <w:r>
              <w:rPr>
                <w:b/>
                <w:sz w:val="20"/>
                <w:szCs w:val="20"/>
              </w:rPr>
              <w:t>86%</w:t>
            </w:r>
            <w:r>
              <w:rPr>
                <w:sz w:val="20"/>
                <w:szCs w:val="20"/>
              </w:rPr>
              <w:br/>
              <w:t>Compliant</w:t>
            </w:r>
          </w:p>
        </w:tc>
        <w:tc>
          <w:tcPr>
            <w:tcW w:w="1785" w:type="dxa"/>
            <w:shd w:val="clear" w:color="auto" w:fill="FF9900"/>
            <w:tcMar>
              <w:top w:w="100" w:type="dxa"/>
              <w:left w:w="100" w:type="dxa"/>
              <w:bottom w:w="100" w:type="dxa"/>
              <w:right w:w="100" w:type="dxa"/>
            </w:tcMar>
          </w:tcPr>
          <w:p w14:paraId="21079978" w14:textId="77777777" w:rsidR="00BC388A" w:rsidRDefault="00140473">
            <w:pPr>
              <w:widowControl w:val="0"/>
              <w:spacing w:after="0" w:line="240" w:lineRule="auto"/>
              <w:jc w:val="left"/>
              <w:rPr>
                <w:sz w:val="20"/>
                <w:szCs w:val="20"/>
              </w:rPr>
            </w:pPr>
            <w:r>
              <w:rPr>
                <w:b/>
                <w:sz w:val="20"/>
                <w:szCs w:val="20"/>
              </w:rPr>
              <w:t>89%</w:t>
            </w:r>
            <w:r>
              <w:rPr>
                <w:sz w:val="20"/>
                <w:szCs w:val="20"/>
              </w:rPr>
              <w:br/>
              <w:t>Compliant</w:t>
            </w:r>
          </w:p>
        </w:tc>
      </w:tr>
      <w:tr w:rsidR="00BC388A" w14:paraId="106ACE51" w14:textId="77777777">
        <w:trPr>
          <w:jc w:val="center"/>
        </w:trPr>
        <w:tc>
          <w:tcPr>
            <w:tcW w:w="1665" w:type="dxa"/>
            <w:shd w:val="clear" w:color="auto" w:fill="auto"/>
            <w:tcMar>
              <w:top w:w="100" w:type="dxa"/>
              <w:left w:w="100" w:type="dxa"/>
              <w:bottom w:w="100" w:type="dxa"/>
              <w:right w:w="100" w:type="dxa"/>
            </w:tcMar>
          </w:tcPr>
          <w:p w14:paraId="3520F7F4" w14:textId="77777777" w:rsidR="00BC388A" w:rsidRDefault="00140473">
            <w:pPr>
              <w:widowControl w:val="0"/>
              <w:spacing w:after="0" w:line="240" w:lineRule="auto"/>
              <w:jc w:val="left"/>
              <w:rPr>
                <w:sz w:val="20"/>
                <w:szCs w:val="20"/>
              </w:rPr>
            </w:pPr>
            <w:r>
              <w:rPr>
                <w:sz w:val="20"/>
                <w:szCs w:val="20"/>
              </w:rPr>
              <w:t>GBIF</w:t>
            </w:r>
          </w:p>
        </w:tc>
        <w:tc>
          <w:tcPr>
            <w:tcW w:w="1710" w:type="dxa"/>
            <w:shd w:val="clear" w:color="auto" w:fill="93C47D"/>
            <w:tcMar>
              <w:top w:w="100" w:type="dxa"/>
              <w:left w:w="100" w:type="dxa"/>
              <w:bottom w:w="100" w:type="dxa"/>
              <w:right w:w="100" w:type="dxa"/>
            </w:tcMar>
          </w:tcPr>
          <w:p w14:paraId="4CD51CCA" w14:textId="77777777" w:rsidR="00BC388A" w:rsidRDefault="00140473">
            <w:pPr>
              <w:widowControl w:val="0"/>
              <w:spacing w:after="0" w:line="240" w:lineRule="auto"/>
              <w:jc w:val="left"/>
              <w:rPr>
                <w:sz w:val="20"/>
                <w:szCs w:val="20"/>
              </w:rPr>
            </w:pPr>
            <w:r>
              <w:rPr>
                <w:b/>
                <w:sz w:val="20"/>
                <w:szCs w:val="20"/>
              </w:rPr>
              <w:t xml:space="preserve">100% </w:t>
            </w:r>
            <w:r>
              <w:rPr>
                <w:sz w:val="20"/>
                <w:szCs w:val="20"/>
              </w:rPr>
              <w:br/>
              <w:t>Compliant</w:t>
            </w:r>
          </w:p>
        </w:tc>
        <w:tc>
          <w:tcPr>
            <w:tcW w:w="1800" w:type="dxa"/>
            <w:shd w:val="clear" w:color="auto" w:fill="93C47D"/>
            <w:tcMar>
              <w:top w:w="100" w:type="dxa"/>
              <w:left w:w="100" w:type="dxa"/>
              <w:bottom w:w="100" w:type="dxa"/>
              <w:right w:w="100" w:type="dxa"/>
            </w:tcMar>
          </w:tcPr>
          <w:p w14:paraId="26BE405C" w14:textId="77777777" w:rsidR="00BC388A" w:rsidRDefault="00140473">
            <w:pPr>
              <w:widowControl w:val="0"/>
              <w:spacing w:after="0" w:line="240" w:lineRule="auto"/>
              <w:jc w:val="left"/>
              <w:rPr>
                <w:sz w:val="20"/>
                <w:szCs w:val="20"/>
              </w:rPr>
            </w:pPr>
            <w:r>
              <w:rPr>
                <w:b/>
                <w:sz w:val="20"/>
                <w:szCs w:val="20"/>
              </w:rPr>
              <w:t>100%</w:t>
            </w:r>
            <w:r>
              <w:rPr>
                <w:sz w:val="20"/>
                <w:szCs w:val="20"/>
              </w:rPr>
              <w:br/>
              <w:t>Complaint</w:t>
            </w:r>
          </w:p>
        </w:tc>
        <w:tc>
          <w:tcPr>
            <w:tcW w:w="2085" w:type="dxa"/>
            <w:shd w:val="clear" w:color="auto" w:fill="FF9900"/>
            <w:tcMar>
              <w:top w:w="100" w:type="dxa"/>
              <w:left w:w="100" w:type="dxa"/>
              <w:bottom w:w="100" w:type="dxa"/>
              <w:right w:w="100" w:type="dxa"/>
            </w:tcMar>
          </w:tcPr>
          <w:p w14:paraId="6BB7CE21" w14:textId="77777777" w:rsidR="00BC388A" w:rsidRDefault="00140473">
            <w:pPr>
              <w:widowControl w:val="0"/>
              <w:spacing w:after="0" w:line="240" w:lineRule="auto"/>
              <w:jc w:val="left"/>
              <w:rPr>
                <w:sz w:val="20"/>
                <w:szCs w:val="20"/>
              </w:rPr>
            </w:pPr>
            <w:r>
              <w:rPr>
                <w:b/>
                <w:sz w:val="20"/>
                <w:szCs w:val="20"/>
              </w:rPr>
              <w:t>86%</w:t>
            </w:r>
            <w:r>
              <w:rPr>
                <w:sz w:val="20"/>
                <w:szCs w:val="20"/>
              </w:rPr>
              <w:br/>
              <w:t>Compliant</w:t>
            </w:r>
          </w:p>
        </w:tc>
        <w:tc>
          <w:tcPr>
            <w:tcW w:w="1785" w:type="dxa"/>
            <w:shd w:val="clear" w:color="auto" w:fill="93C47D"/>
            <w:tcMar>
              <w:top w:w="100" w:type="dxa"/>
              <w:left w:w="100" w:type="dxa"/>
              <w:bottom w:w="100" w:type="dxa"/>
              <w:right w:w="100" w:type="dxa"/>
            </w:tcMar>
          </w:tcPr>
          <w:p w14:paraId="056BB77C" w14:textId="77777777" w:rsidR="00BC388A" w:rsidRDefault="00140473">
            <w:pPr>
              <w:widowControl w:val="0"/>
              <w:spacing w:after="0" w:line="240" w:lineRule="auto"/>
              <w:jc w:val="left"/>
              <w:rPr>
                <w:sz w:val="20"/>
                <w:szCs w:val="20"/>
              </w:rPr>
            </w:pPr>
            <w:r>
              <w:rPr>
                <w:b/>
                <w:sz w:val="20"/>
                <w:szCs w:val="20"/>
              </w:rPr>
              <w:t>100%</w:t>
            </w:r>
            <w:r>
              <w:rPr>
                <w:sz w:val="20"/>
                <w:szCs w:val="20"/>
              </w:rPr>
              <w:br/>
              <w:t>Compliant</w:t>
            </w:r>
          </w:p>
        </w:tc>
      </w:tr>
      <w:tr w:rsidR="00BC388A" w14:paraId="20B366DA" w14:textId="77777777">
        <w:trPr>
          <w:jc w:val="center"/>
        </w:trPr>
        <w:tc>
          <w:tcPr>
            <w:tcW w:w="1665" w:type="dxa"/>
            <w:shd w:val="clear" w:color="auto" w:fill="auto"/>
            <w:tcMar>
              <w:top w:w="100" w:type="dxa"/>
              <w:left w:w="100" w:type="dxa"/>
              <w:bottom w:w="100" w:type="dxa"/>
              <w:right w:w="100" w:type="dxa"/>
            </w:tcMar>
          </w:tcPr>
          <w:p w14:paraId="6C79AABA" w14:textId="77777777" w:rsidR="00BC388A" w:rsidRDefault="00140473">
            <w:pPr>
              <w:widowControl w:val="0"/>
              <w:spacing w:after="0" w:line="240" w:lineRule="auto"/>
              <w:jc w:val="left"/>
              <w:rPr>
                <w:sz w:val="20"/>
                <w:szCs w:val="20"/>
              </w:rPr>
            </w:pPr>
            <w:r>
              <w:rPr>
                <w:sz w:val="20"/>
                <w:szCs w:val="20"/>
              </w:rPr>
              <w:t>ENES</w:t>
            </w:r>
          </w:p>
        </w:tc>
        <w:tc>
          <w:tcPr>
            <w:tcW w:w="1710" w:type="dxa"/>
            <w:shd w:val="clear" w:color="auto" w:fill="FF9900"/>
            <w:tcMar>
              <w:top w:w="100" w:type="dxa"/>
              <w:left w:w="100" w:type="dxa"/>
              <w:bottom w:w="100" w:type="dxa"/>
              <w:right w:w="100" w:type="dxa"/>
            </w:tcMar>
          </w:tcPr>
          <w:p w14:paraId="12978F58" w14:textId="77777777" w:rsidR="00BC388A" w:rsidRDefault="00140473">
            <w:pPr>
              <w:widowControl w:val="0"/>
              <w:spacing w:after="0" w:line="240" w:lineRule="auto"/>
              <w:jc w:val="left"/>
              <w:rPr>
                <w:sz w:val="20"/>
                <w:szCs w:val="20"/>
              </w:rPr>
            </w:pPr>
            <w:r>
              <w:rPr>
                <w:b/>
                <w:sz w:val="20"/>
                <w:szCs w:val="20"/>
              </w:rPr>
              <w:t>71%</w:t>
            </w:r>
            <w:r>
              <w:rPr>
                <w:sz w:val="20"/>
                <w:szCs w:val="20"/>
              </w:rPr>
              <w:br/>
              <w:t>Compliant</w:t>
            </w:r>
          </w:p>
        </w:tc>
        <w:tc>
          <w:tcPr>
            <w:tcW w:w="1800" w:type="dxa"/>
            <w:shd w:val="clear" w:color="auto" w:fill="93C47D"/>
            <w:tcMar>
              <w:top w:w="100" w:type="dxa"/>
              <w:left w:w="100" w:type="dxa"/>
              <w:bottom w:w="100" w:type="dxa"/>
              <w:right w:w="100" w:type="dxa"/>
            </w:tcMar>
          </w:tcPr>
          <w:p w14:paraId="5B62DA7D" w14:textId="77777777" w:rsidR="00BC388A" w:rsidRDefault="00140473">
            <w:pPr>
              <w:widowControl w:val="0"/>
              <w:spacing w:after="0" w:line="240" w:lineRule="auto"/>
              <w:jc w:val="left"/>
              <w:rPr>
                <w:sz w:val="20"/>
                <w:szCs w:val="20"/>
              </w:rPr>
            </w:pPr>
            <w:r>
              <w:rPr>
                <w:b/>
                <w:sz w:val="20"/>
                <w:szCs w:val="20"/>
              </w:rPr>
              <w:t>91%</w:t>
            </w:r>
            <w:r>
              <w:rPr>
                <w:sz w:val="20"/>
                <w:szCs w:val="20"/>
              </w:rPr>
              <w:br/>
              <w:t>Compliant</w:t>
            </w:r>
          </w:p>
        </w:tc>
        <w:tc>
          <w:tcPr>
            <w:tcW w:w="2085" w:type="dxa"/>
            <w:shd w:val="clear" w:color="auto" w:fill="93C47D"/>
            <w:tcMar>
              <w:top w:w="100" w:type="dxa"/>
              <w:left w:w="100" w:type="dxa"/>
              <w:bottom w:w="100" w:type="dxa"/>
              <w:right w:w="100" w:type="dxa"/>
            </w:tcMar>
          </w:tcPr>
          <w:p w14:paraId="7A64DE19" w14:textId="77777777" w:rsidR="00BC388A" w:rsidRDefault="00140473">
            <w:pPr>
              <w:widowControl w:val="0"/>
              <w:spacing w:after="0" w:line="240" w:lineRule="auto"/>
              <w:jc w:val="left"/>
              <w:rPr>
                <w:sz w:val="20"/>
                <w:szCs w:val="20"/>
              </w:rPr>
            </w:pPr>
            <w:r>
              <w:rPr>
                <w:b/>
                <w:sz w:val="20"/>
                <w:szCs w:val="20"/>
              </w:rPr>
              <w:t>100%</w:t>
            </w:r>
            <w:r>
              <w:rPr>
                <w:sz w:val="20"/>
                <w:szCs w:val="20"/>
              </w:rPr>
              <w:br/>
              <w:t>Compliant</w:t>
            </w:r>
          </w:p>
        </w:tc>
        <w:tc>
          <w:tcPr>
            <w:tcW w:w="1785" w:type="dxa"/>
            <w:shd w:val="clear" w:color="auto" w:fill="93C47D"/>
            <w:tcMar>
              <w:top w:w="100" w:type="dxa"/>
              <w:left w:w="100" w:type="dxa"/>
              <w:bottom w:w="100" w:type="dxa"/>
              <w:right w:w="100" w:type="dxa"/>
            </w:tcMar>
          </w:tcPr>
          <w:p w14:paraId="0AA96C7B" w14:textId="77777777" w:rsidR="00BC388A" w:rsidRDefault="00140473">
            <w:pPr>
              <w:widowControl w:val="0"/>
              <w:spacing w:after="0" w:line="240" w:lineRule="auto"/>
              <w:jc w:val="left"/>
              <w:rPr>
                <w:sz w:val="20"/>
                <w:szCs w:val="20"/>
              </w:rPr>
            </w:pPr>
            <w:r>
              <w:rPr>
                <w:b/>
                <w:sz w:val="20"/>
                <w:szCs w:val="20"/>
              </w:rPr>
              <w:t>100%</w:t>
            </w:r>
            <w:r>
              <w:rPr>
                <w:sz w:val="20"/>
                <w:szCs w:val="20"/>
              </w:rPr>
              <w:br/>
              <w:t>Compliant</w:t>
            </w:r>
          </w:p>
        </w:tc>
      </w:tr>
      <w:tr w:rsidR="00BC388A" w14:paraId="768C9C2A" w14:textId="77777777">
        <w:trPr>
          <w:jc w:val="center"/>
        </w:trPr>
        <w:tc>
          <w:tcPr>
            <w:tcW w:w="1665" w:type="dxa"/>
            <w:shd w:val="clear" w:color="auto" w:fill="auto"/>
            <w:tcMar>
              <w:top w:w="100" w:type="dxa"/>
              <w:left w:w="100" w:type="dxa"/>
              <w:bottom w:w="100" w:type="dxa"/>
              <w:right w:w="100" w:type="dxa"/>
            </w:tcMar>
          </w:tcPr>
          <w:p w14:paraId="1D7D8D91" w14:textId="77777777" w:rsidR="00BC388A" w:rsidRDefault="00140473">
            <w:pPr>
              <w:widowControl w:val="0"/>
              <w:spacing w:after="0" w:line="240" w:lineRule="auto"/>
              <w:jc w:val="left"/>
              <w:rPr>
                <w:sz w:val="20"/>
                <w:szCs w:val="20"/>
              </w:rPr>
            </w:pPr>
            <w:r>
              <w:rPr>
                <w:sz w:val="20"/>
                <w:szCs w:val="20"/>
              </w:rPr>
              <w:t>LOFAR Science Project</w:t>
            </w:r>
          </w:p>
        </w:tc>
        <w:tc>
          <w:tcPr>
            <w:tcW w:w="1710" w:type="dxa"/>
            <w:shd w:val="clear" w:color="auto" w:fill="93C47D"/>
            <w:tcMar>
              <w:top w:w="100" w:type="dxa"/>
              <w:left w:w="100" w:type="dxa"/>
              <w:bottom w:w="100" w:type="dxa"/>
              <w:right w:w="100" w:type="dxa"/>
            </w:tcMar>
          </w:tcPr>
          <w:p w14:paraId="74ACBB61" w14:textId="77777777" w:rsidR="00BC388A" w:rsidRDefault="00140473">
            <w:pPr>
              <w:widowControl w:val="0"/>
              <w:spacing w:after="0" w:line="240" w:lineRule="auto"/>
              <w:jc w:val="left"/>
              <w:rPr>
                <w:sz w:val="20"/>
                <w:szCs w:val="20"/>
              </w:rPr>
            </w:pPr>
            <w:r>
              <w:rPr>
                <w:b/>
                <w:sz w:val="20"/>
                <w:szCs w:val="20"/>
              </w:rPr>
              <w:t xml:space="preserve">100% </w:t>
            </w:r>
            <w:r>
              <w:rPr>
                <w:sz w:val="20"/>
                <w:szCs w:val="20"/>
              </w:rPr>
              <w:br/>
              <w:t>Compliant</w:t>
            </w:r>
          </w:p>
        </w:tc>
        <w:tc>
          <w:tcPr>
            <w:tcW w:w="1800" w:type="dxa"/>
            <w:shd w:val="clear" w:color="auto" w:fill="93C47D"/>
            <w:tcMar>
              <w:top w:w="100" w:type="dxa"/>
              <w:left w:w="100" w:type="dxa"/>
              <w:bottom w:w="100" w:type="dxa"/>
              <w:right w:w="100" w:type="dxa"/>
            </w:tcMar>
          </w:tcPr>
          <w:p w14:paraId="219D71ED" w14:textId="77777777" w:rsidR="00BC388A" w:rsidRDefault="00140473">
            <w:pPr>
              <w:widowControl w:val="0"/>
              <w:spacing w:after="0" w:line="240" w:lineRule="auto"/>
              <w:jc w:val="left"/>
              <w:rPr>
                <w:sz w:val="20"/>
                <w:szCs w:val="20"/>
              </w:rPr>
            </w:pPr>
            <w:r>
              <w:rPr>
                <w:b/>
                <w:sz w:val="20"/>
                <w:szCs w:val="20"/>
              </w:rPr>
              <w:t>100%</w:t>
            </w:r>
            <w:r>
              <w:rPr>
                <w:sz w:val="20"/>
                <w:szCs w:val="20"/>
              </w:rPr>
              <w:br/>
              <w:t>Compliant</w:t>
            </w:r>
          </w:p>
        </w:tc>
        <w:tc>
          <w:tcPr>
            <w:tcW w:w="2085" w:type="dxa"/>
            <w:shd w:val="clear" w:color="auto" w:fill="EA9999"/>
            <w:tcMar>
              <w:top w:w="100" w:type="dxa"/>
              <w:left w:w="100" w:type="dxa"/>
              <w:bottom w:w="100" w:type="dxa"/>
              <w:right w:w="100" w:type="dxa"/>
            </w:tcMar>
          </w:tcPr>
          <w:p w14:paraId="302843FA" w14:textId="77777777" w:rsidR="00BC388A" w:rsidRDefault="00140473">
            <w:pPr>
              <w:widowControl w:val="0"/>
              <w:spacing w:after="0" w:line="240" w:lineRule="auto"/>
              <w:jc w:val="left"/>
              <w:rPr>
                <w:sz w:val="20"/>
                <w:szCs w:val="20"/>
              </w:rPr>
            </w:pPr>
            <w:r>
              <w:rPr>
                <w:b/>
                <w:sz w:val="20"/>
                <w:szCs w:val="20"/>
              </w:rPr>
              <w:t>57%</w:t>
            </w:r>
            <w:r>
              <w:rPr>
                <w:sz w:val="20"/>
                <w:szCs w:val="20"/>
              </w:rPr>
              <w:t xml:space="preserve"> Compliant, but working on it</w:t>
            </w:r>
          </w:p>
        </w:tc>
        <w:tc>
          <w:tcPr>
            <w:tcW w:w="1785" w:type="dxa"/>
            <w:shd w:val="clear" w:color="auto" w:fill="FF9900"/>
            <w:tcMar>
              <w:top w:w="100" w:type="dxa"/>
              <w:left w:w="100" w:type="dxa"/>
              <w:bottom w:w="100" w:type="dxa"/>
              <w:right w:w="100" w:type="dxa"/>
            </w:tcMar>
          </w:tcPr>
          <w:p w14:paraId="13C48E1D" w14:textId="77777777" w:rsidR="00BC388A" w:rsidRDefault="00140473">
            <w:pPr>
              <w:widowControl w:val="0"/>
              <w:spacing w:after="0" w:line="240" w:lineRule="auto"/>
              <w:jc w:val="left"/>
              <w:rPr>
                <w:sz w:val="20"/>
                <w:szCs w:val="20"/>
              </w:rPr>
            </w:pPr>
            <w:r>
              <w:rPr>
                <w:b/>
                <w:sz w:val="20"/>
                <w:szCs w:val="20"/>
              </w:rPr>
              <w:t>78%</w:t>
            </w:r>
            <w:r>
              <w:rPr>
                <w:sz w:val="20"/>
                <w:szCs w:val="20"/>
              </w:rPr>
              <w:br/>
              <w:t>Compliant</w:t>
            </w:r>
          </w:p>
        </w:tc>
      </w:tr>
      <w:tr w:rsidR="00BC388A" w14:paraId="126DBE7F" w14:textId="77777777">
        <w:trPr>
          <w:jc w:val="center"/>
        </w:trPr>
        <w:tc>
          <w:tcPr>
            <w:tcW w:w="1665" w:type="dxa"/>
            <w:shd w:val="clear" w:color="auto" w:fill="auto"/>
            <w:tcMar>
              <w:top w:w="100" w:type="dxa"/>
              <w:left w:w="100" w:type="dxa"/>
              <w:bottom w:w="100" w:type="dxa"/>
              <w:right w:w="100" w:type="dxa"/>
            </w:tcMar>
          </w:tcPr>
          <w:p w14:paraId="0B4FE8DA" w14:textId="77777777" w:rsidR="00BC388A" w:rsidRDefault="00140473">
            <w:pPr>
              <w:widowControl w:val="0"/>
              <w:spacing w:after="0" w:line="240" w:lineRule="auto"/>
              <w:jc w:val="left"/>
              <w:rPr>
                <w:sz w:val="20"/>
                <w:szCs w:val="20"/>
              </w:rPr>
            </w:pPr>
            <w:r>
              <w:rPr>
                <w:sz w:val="20"/>
                <w:szCs w:val="20"/>
              </w:rPr>
              <w:t>EMSO ERIC</w:t>
            </w:r>
          </w:p>
        </w:tc>
        <w:tc>
          <w:tcPr>
            <w:tcW w:w="1710" w:type="dxa"/>
            <w:shd w:val="clear" w:color="auto" w:fill="93C47D"/>
            <w:tcMar>
              <w:top w:w="100" w:type="dxa"/>
              <w:left w:w="100" w:type="dxa"/>
              <w:bottom w:w="100" w:type="dxa"/>
              <w:right w:w="100" w:type="dxa"/>
            </w:tcMar>
          </w:tcPr>
          <w:p w14:paraId="13A4B4C3" w14:textId="77777777" w:rsidR="00BC388A" w:rsidRDefault="00140473">
            <w:pPr>
              <w:widowControl w:val="0"/>
              <w:spacing w:after="0" w:line="240" w:lineRule="auto"/>
              <w:jc w:val="left"/>
              <w:rPr>
                <w:sz w:val="20"/>
                <w:szCs w:val="20"/>
              </w:rPr>
            </w:pPr>
            <w:r>
              <w:rPr>
                <w:b/>
                <w:sz w:val="20"/>
                <w:szCs w:val="20"/>
              </w:rPr>
              <w:t xml:space="preserve">100% </w:t>
            </w:r>
            <w:r>
              <w:rPr>
                <w:sz w:val="20"/>
                <w:szCs w:val="20"/>
              </w:rPr>
              <w:br/>
              <w:t>Compliant</w:t>
            </w:r>
          </w:p>
        </w:tc>
        <w:tc>
          <w:tcPr>
            <w:tcW w:w="1800" w:type="dxa"/>
            <w:shd w:val="clear" w:color="auto" w:fill="93C47D"/>
            <w:tcMar>
              <w:top w:w="100" w:type="dxa"/>
              <w:left w:w="100" w:type="dxa"/>
              <w:bottom w:w="100" w:type="dxa"/>
              <w:right w:w="100" w:type="dxa"/>
            </w:tcMar>
          </w:tcPr>
          <w:p w14:paraId="30B74DD8" w14:textId="77777777" w:rsidR="00BC388A" w:rsidRDefault="00140473">
            <w:pPr>
              <w:widowControl w:val="0"/>
              <w:spacing w:after="0" w:line="240" w:lineRule="auto"/>
              <w:jc w:val="left"/>
              <w:rPr>
                <w:sz w:val="20"/>
                <w:szCs w:val="20"/>
              </w:rPr>
            </w:pPr>
            <w:r>
              <w:rPr>
                <w:b/>
                <w:sz w:val="20"/>
                <w:szCs w:val="20"/>
              </w:rPr>
              <w:t>91%</w:t>
            </w:r>
            <w:r>
              <w:rPr>
                <w:sz w:val="20"/>
                <w:szCs w:val="20"/>
              </w:rPr>
              <w:t xml:space="preserve"> Compliant</w:t>
            </w:r>
          </w:p>
        </w:tc>
        <w:tc>
          <w:tcPr>
            <w:tcW w:w="2085" w:type="dxa"/>
            <w:shd w:val="clear" w:color="auto" w:fill="EA9999"/>
            <w:tcMar>
              <w:top w:w="100" w:type="dxa"/>
              <w:left w:w="100" w:type="dxa"/>
              <w:bottom w:w="100" w:type="dxa"/>
              <w:right w:w="100" w:type="dxa"/>
            </w:tcMar>
          </w:tcPr>
          <w:p w14:paraId="0332295F" w14:textId="77777777" w:rsidR="00BC388A" w:rsidRDefault="00140473">
            <w:pPr>
              <w:widowControl w:val="0"/>
              <w:spacing w:after="0" w:line="240" w:lineRule="auto"/>
              <w:jc w:val="left"/>
              <w:rPr>
                <w:sz w:val="20"/>
                <w:szCs w:val="20"/>
              </w:rPr>
            </w:pPr>
            <w:r>
              <w:rPr>
                <w:b/>
                <w:sz w:val="20"/>
                <w:szCs w:val="20"/>
              </w:rPr>
              <w:t>14%</w:t>
            </w:r>
            <w:r>
              <w:rPr>
                <w:sz w:val="20"/>
                <w:szCs w:val="20"/>
              </w:rPr>
              <w:t xml:space="preserve"> Compliant, but working on it</w:t>
            </w:r>
          </w:p>
        </w:tc>
        <w:tc>
          <w:tcPr>
            <w:tcW w:w="1785" w:type="dxa"/>
            <w:shd w:val="clear" w:color="auto" w:fill="EA9999"/>
            <w:tcMar>
              <w:top w:w="100" w:type="dxa"/>
              <w:left w:w="100" w:type="dxa"/>
              <w:bottom w:w="100" w:type="dxa"/>
              <w:right w:w="100" w:type="dxa"/>
            </w:tcMar>
          </w:tcPr>
          <w:p w14:paraId="3669C315" w14:textId="77777777" w:rsidR="00BC388A" w:rsidRDefault="00140473">
            <w:pPr>
              <w:widowControl w:val="0"/>
              <w:spacing w:after="0" w:line="240" w:lineRule="auto"/>
              <w:jc w:val="left"/>
              <w:rPr>
                <w:sz w:val="20"/>
                <w:szCs w:val="20"/>
              </w:rPr>
            </w:pPr>
            <w:r>
              <w:rPr>
                <w:b/>
                <w:sz w:val="20"/>
                <w:szCs w:val="20"/>
              </w:rPr>
              <w:t xml:space="preserve">66% </w:t>
            </w:r>
            <w:r>
              <w:rPr>
                <w:sz w:val="20"/>
                <w:szCs w:val="20"/>
              </w:rPr>
              <w:br/>
              <w:t>Compliant</w:t>
            </w:r>
          </w:p>
        </w:tc>
      </w:tr>
      <w:tr w:rsidR="00BC388A" w14:paraId="2A1EEEB5" w14:textId="77777777">
        <w:trPr>
          <w:jc w:val="center"/>
        </w:trPr>
        <w:tc>
          <w:tcPr>
            <w:tcW w:w="1665" w:type="dxa"/>
            <w:shd w:val="clear" w:color="auto" w:fill="auto"/>
            <w:tcMar>
              <w:top w:w="100" w:type="dxa"/>
              <w:left w:w="100" w:type="dxa"/>
              <w:bottom w:w="100" w:type="dxa"/>
              <w:right w:w="100" w:type="dxa"/>
            </w:tcMar>
          </w:tcPr>
          <w:p w14:paraId="1731CBA8" w14:textId="77777777" w:rsidR="00BC388A" w:rsidRDefault="00140473">
            <w:pPr>
              <w:widowControl w:val="0"/>
              <w:spacing w:after="0" w:line="240" w:lineRule="auto"/>
              <w:jc w:val="left"/>
              <w:rPr>
                <w:sz w:val="20"/>
                <w:szCs w:val="20"/>
              </w:rPr>
            </w:pPr>
            <w:proofErr w:type="spellStart"/>
            <w:r>
              <w:rPr>
                <w:sz w:val="20"/>
                <w:szCs w:val="20"/>
              </w:rPr>
              <w:t>SeaDataNet</w:t>
            </w:r>
            <w:proofErr w:type="spellEnd"/>
          </w:p>
        </w:tc>
        <w:tc>
          <w:tcPr>
            <w:tcW w:w="1710" w:type="dxa"/>
            <w:shd w:val="clear" w:color="auto" w:fill="93C47D"/>
            <w:tcMar>
              <w:top w:w="100" w:type="dxa"/>
              <w:left w:w="100" w:type="dxa"/>
              <w:bottom w:w="100" w:type="dxa"/>
              <w:right w:w="100" w:type="dxa"/>
            </w:tcMar>
          </w:tcPr>
          <w:p w14:paraId="6C5EA460" w14:textId="77777777" w:rsidR="00BC388A" w:rsidRDefault="00140473">
            <w:pPr>
              <w:widowControl w:val="0"/>
              <w:spacing w:after="0" w:line="240" w:lineRule="auto"/>
              <w:jc w:val="left"/>
              <w:rPr>
                <w:b/>
                <w:sz w:val="20"/>
                <w:szCs w:val="20"/>
              </w:rPr>
            </w:pPr>
            <w:r>
              <w:rPr>
                <w:b/>
                <w:sz w:val="20"/>
                <w:szCs w:val="20"/>
              </w:rPr>
              <w:t xml:space="preserve">100% </w:t>
            </w:r>
            <w:r>
              <w:rPr>
                <w:sz w:val="20"/>
                <w:szCs w:val="20"/>
              </w:rPr>
              <w:br/>
              <w:t>Compliant</w:t>
            </w:r>
          </w:p>
        </w:tc>
        <w:tc>
          <w:tcPr>
            <w:tcW w:w="1800" w:type="dxa"/>
            <w:shd w:val="clear" w:color="auto" w:fill="93C47D"/>
            <w:tcMar>
              <w:top w:w="100" w:type="dxa"/>
              <w:left w:w="100" w:type="dxa"/>
              <w:bottom w:w="100" w:type="dxa"/>
              <w:right w:w="100" w:type="dxa"/>
            </w:tcMar>
          </w:tcPr>
          <w:p w14:paraId="05D4E77F" w14:textId="77777777" w:rsidR="00BC388A" w:rsidRDefault="00140473">
            <w:pPr>
              <w:widowControl w:val="0"/>
              <w:spacing w:after="0" w:line="240" w:lineRule="auto"/>
              <w:jc w:val="left"/>
              <w:rPr>
                <w:b/>
                <w:sz w:val="20"/>
                <w:szCs w:val="20"/>
              </w:rPr>
            </w:pPr>
            <w:r>
              <w:rPr>
                <w:b/>
                <w:sz w:val="20"/>
                <w:szCs w:val="20"/>
              </w:rPr>
              <w:t xml:space="preserve">100% </w:t>
            </w:r>
            <w:r>
              <w:rPr>
                <w:sz w:val="20"/>
                <w:szCs w:val="20"/>
              </w:rPr>
              <w:br/>
              <w:t>Compliant</w:t>
            </w:r>
          </w:p>
        </w:tc>
        <w:tc>
          <w:tcPr>
            <w:tcW w:w="2085" w:type="dxa"/>
            <w:shd w:val="clear" w:color="auto" w:fill="93C47D"/>
            <w:tcMar>
              <w:top w:w="100" w:type="dxa"/>
              <w:left w:w="100" w:type="dxa"/>
              <w:bottom w:w="100" w:type="dxa"/>
              <w:right w:w="100" w:type="dxa"/>
            </w:tcMar>
          </w:tcPr>
          <w:p w14:paraId="53C1A6E9" w14:textId="77777777" w:rsidR="00BC388A" w:rsidRDefault="00140473">
            <w:pPr>
              <w:widowControl w:val="0"/>
              <w:spacing w:after="0" w:line="240" w:lineRule="auto"/>
              <w:jc w:val="left"/>
              <w:rPr>
                <w:sz w:val="20"/>
                <w:szCs w:val="20"/>
              </w:rPr>
            </w:pPr>
            <w:r>
              <w:rPr>
                <w:b/>
                <w:sz w:val="20"/>
                <w:szCs w:val="20"/>
              </w:rPr>
              <w:t>100%</w:t>
            </w:r>
            <w:r>
              <w:rPr>
                <w:sz w:val="20"/>
                <w:szCs w:val="20"/>
              </w:rPr>
              <w:br/>
              <w:t>Compliant</w:t>
            </w:r>
          </w:p>
        </w:tc>
        <w:tc>
          <w:tcPr>
            <w:tcW w:w="1785" w:type="dxa"/>
            <w:shd w:val="clear" w:color="auto" w:fill="93C47D"/>
            <w:tcMar>
              <w:top w:w="100" w:type="dxa"/>
              <w:left w:w="100" w:type="dxa"/>
              <w:bottom w:w="100" w:type="dxa"/>
              <w:right w:w="100" w:type="dxa"/>
            </w:tcMar>
          </w:tcPr>
          <w:p w14:paraId="472D2631" w14:textId="77777777" w:rsidR="00BC388A" w:rsidRDefault="00140473">
            <w:pPr>
              <w:widowControl w:val="0"/>
              <w:spacing w:after="0" w:line="240" w:lineRule="auto"/>
              <w:jc w:val="left"/>
              <w:rPr>
                <w:sz w:val="20"/>
                <w:szCs w:val="20"/>
              </w:rPr>
            </w:pPr>
            <w:r>
              <w:rPr>
                <w:b/>
                <w:sz w:val="20"/>
                <w:szCs w:val="20"/>
              </w:rPr>
              <w:t>100%</w:t>
            </w:r>
            <w:r>
              <w:rPr>
                <w:sz w:val="20"/>
                <w:szCs w:val="20"/>
              </w:rPr>
              <w:br/>
              <w:t>Compliant</w:t>
            </w:r>
          </w:p>
        </w:tc>
      </w:tr>
      <w:tr w:rsidR="00BC388A" w14:paraId="53BDEC8E" w14:textId="77777777">
        <w:trPr>
          <w:jc w:val="center"/>
        </w:trPr>
        <w:tc>
          <w:tcPr>
            <w:tcW w:w="1665" w:type="dxa"/>
            <w:shd w:val="clear" w:color="auto" w:fill="auto"/>
            <w:tcMar>
              <w:top w:w="100" w:type="dxa"/>
              <w:left w:w="100" w:type="dxa"/>
              <w:bottom w:w="100" w:type="dxa"/>
              <w:right w:w="100" w:type="dxa"/>
            </w:tcMar>
          </w:tcPr>
          <w:p w14:paraId="7FB86579" w14:textId="77777777" w:rsidR="00BC388A" w:rsidRDefault="00140473">
            <w:pPr>
              <w:widowControl w:val="0"/>
              <w:pBdr>
                <w:top w:val="nil"/>
                <w:left w:val="nil"/>
                <w:bottom w:val="nil"/>
                <w:right w:val="nil"/>
                <w:between w:val="nil"/>
              </w:pBdr>
              <w:spacing w:after="0" w:line="240" w:lineRule="auto"/>
              <w:jc w:val="left"/>
              <w:rPr>
                <w:sz w:val="20"/>
                <w:szCs w:val="20"/>
              </w:rPr>
            </w:pPr>
            <w:r>
              <w:rPr>
                <w:sz w:val="20"/>
                <w:szCs w:val="20"/>
              </w:rPr>
              <w:t xml:space="preserve">Disaster Mitigation </w:t>
            </w:r>
            <w:r>
              <w:rPr>
                <w:sz w:val="20"/>
                <w:szCs w:val="20"/>
              </w:rPr>
              <w:br/>
              <w:t xml:space="preserve">and Agriculture </w:t>
            </w:r>
          </w:p>
        </w:tc>
        <w:tc>
          <w:tcPr>
            <w:tcW w:w="1710" w:type="dxa"/>
            <w:shd w:val="clear" w:color="auto" w:fill="EA9999"/>
            <w:tcMar>
              <w:top w:w="100" w:type="dxa"/>
              <w:left w:w="100" w:type="dxa"/>
              <w:bottom w:w="100" w:type="dxa"/>
              <w:right w:w="100" w:type="dxa"/>
            </w:tcMar>
          </w:tcPr>
          <w:p w14:paraId="6019DD59" w14:textId="77777777" w:rsidR="00BC388A" w:rsidRDefault="00140473">
            <w:pPr>
              <w:widowControl w:val="0"/>
              <w:pBdr>
                <w:top w:val="nil"/>
                <w:left w:val="nil"/>
                <w:bottom w:val="nil"/>
                <w:right w:val="nil"/>
                <w:between w:val="nil"/>
              </w:pBdr>
              <w:spacing w:after="0" w:line="240" w:lineRule="auto"/>
              <w:jc w:val="left"/>
              <w:rPr>
                <w:sz w:val="20"/>
                <w:szCs w:val="20"/>
                <w:highlight w:val="green"/>
              </w:rPr>
            </w:pPr>
            <w:r>
              <w:rPr>
                <w:b/>
                <w:sz w:val="20"/>
                <w:szCs w:val="20"/>
              </w:rPr>
              <w:t>0%</w:t>
            </w:r>
            <w:r>
              <w:rPr>
                <w:sz w:val="20"/>
                <w:szCs w:val="20"/>
              </w:rPr>
              <w:t xml:space="preserve"> Compliant, but working </w:t>
            </w:r>
            <w:r>
              <w:rPr>
                <w:sz w:val="20"/>
                <w:szCs w:val="20"/>
              </w:rPr>
              <w:br/>
              <w:t>on it</w:t>
            </w:r>
          </w:p>
        </w:tc>
        <w:tc>
          <w:tcPr>
            <w:tcW w:w="1800" w:type="dxa"/>
            <w:shd w:val="clear" w:color="auto" w:fill="93C47D"/>
            <w:tcMar>
              <w:top w:w="100" w:type="dxa"/>
              <w:left w:w="100" w:type="dxa"/>
              <w:bottom w:w="100" w:type="dxa"/>
              <w:right w:w="100" w:type="dxa"/>
            </w:tcMar>
          </w:tcPr>
          <w:p w14:paraId="5B4D8C0D" w14:textId="77777777" w:rsidR="00BC388A" w:rsidRDefault="00140473">
            <w:pPr>
              <w:widowControl w:val="0"/>
              <w:pBdr>
                <w:top w:val="nil"/>
                <w:left w:val="nil"/>
                <w:bottom w:val="nil"/>
                <w:right w:val="nil"/>
                <w:between w:val="nil"/>
              </w:pBdr>
              <w:spacing w:after="0" w:line="240" w:lineRule="auto"/>
              <w:jc w:val="left"/>
              <w:rPr>
                <w:sz w:val="20"/>
                <w:szCs w:val="20"/>
              </w:rPr>
            </w:pPr>
            <w:r>
              <w:rPr>
                <w:b/>
                <w:sz w:val="20"/>
                <w:szCs w:val="20"/>
              </w:rPr>
              <w:t>100%</w:t>
            </w:r>
            <w:r>
              <w:rPr>
                <w:sz w:val="20"/>
                <w:szCs w:val="20"/>
              </w:rPr>
              <w:br/>
              <w:t>Compliant</w:t>
            </w:r>
          </w:p>
        </w:tc>
        <w:tc>
          <w:tcPr>
            <w:tcW w:w="2085" w:type="dxa"/>
            <w:shd w:val="clear" w:color="auto" w:fill="FF9900"/>
            <w:tcMar>
              <w:top w:w="100" w:type="dxa"/>
              <w:left w:w="100" w:type="dxa"/>
              <w:bottom w:w="100" w:type="dxa"/>
              <w:right w:w="100" w:type="dxa"/>
            </w:tcMar>
          </w:tcPr>
          <w:p w14:paraId="4902BE11" w14:textId="77777777" w:rsidR="00BC388A" w:rsidRDefault="00140473">
            <w:pPr>
              <w:widowControl w:val="0"/>
              <w:pBdr>
                <w:top w:val="nil"/>
                <w:left w:val="nil"/>
                <w:bottom w:val="nil"/>
                <w:right w:val="nil"/>
                <w:between w:val="nil"/>
              </w:pBdr>
              <w:spacing w:after="0" w:line="240" w:lineRule="auto"/>
              <w:jc w:val="left"/>
              <w:rPr>
                <w:sz w:val="20"/>
                <w:szCs w:val="20"/>
              </w:rPr>
            </w:pPr>
            <w:r>
              <w:rPr>
                <w:b/>
                <w:sz w:val="20"/>
                <w:szCs w:val="20"/>
              </w:rPr>
              <w:t>86%</w:t>
            </w:r>
            <w:r>
              <w:rPr>
                <w:sz w:val="20"/>
                <w:szCs w:val="20"/>
              </w:rPr>
              <w:br/>
              <w:t>Compliant</w:t>
            </w:r>
          </w:p>
        </w:tc>
        <w:tc>
          <w:tcPr>
            <w:tcW w:w="1785" w:type="dxa"/>
            <w:shd w:val="clear" w:color="auto" w:fill="93C47D"/>
            <w:tcMar>
              <w:top w:w="100" w:type="dxa"/>
              <w:left w:w="100" w:type="dxa"/>
              <w:bottom w:w="100" w:type="dxa"/>
              <w:right w:w="100" w:type="dxa"/>
            </w:tcMar>
          </w:tcPr>
          <w:p w14:paraId="094268DF" w14:textId="77777777" w:rsidR="00BC388A" w:rsidRDefault="00140473">
            <w:pPr>
              <w:widowControl w:val="0"/>
              <w:pBdr>
                <w:top w:val="nil"/>
                <w:left w:val="nil"/>
                <w:bottom w:val="nil"/>
                <w:right w:val="nil"/>
                <w:between w:val="nil"/>
              </w:pBdr>
              <w:spacing w:after="0" w:line="240" w:lineRule="auto"/>
              <w:jc w:val="left"/>
              <w:rPr>
                <w:sz w:val="20"/>
                <w:szCs w:val="20"/>
              </w:rPr>
            </w:pPr>
            <w:r>
              <w:rPr>
                <w:b/>
                <w:sz w:val="20"/>
                <w:szCs w:val="20"/>
              </w:rPr>
              <w:t>100%</w:t>
            </w:r>
            <w:r>
              <w:rPr>
                <w:sz w:val="20"/>
                <w:szCs w:val="20"/>
              </w:rPr>
              <w:br/>
              <w:t>Compliant</w:t>
            </w:r>
          </w:p>
        </w:tc>
      </w:tr>
      <w:tr w:rsidR="00BC388A" w14:paraId="27BF4E27" w14:textId="77777777">
        <w:trPr>
          <w:trHeight w:val="400"/>
          <w:jc w:val="center"/>
        </w:trPr>
        <w:tc>
          <w:tcPr>
            <w:tcW w:w="1665" w:type="dxa"/>
            <w:shd w:val="clear" w:color="auto" w:fill="auto"/>
            <w:tcMar>
              <w:top w:w="100" w:type="dxa"/>
              <w:left w:w="100" w:type="dxa"/>
              <w:bottom w:w="100" w:type="dxa"/>
              <w:right w:w="100" w:type="dxa"/>
            </w:tcMar>
          </w:tcPr>
          <w:p w14:paraId="3828F09B" w14:textId="77777777" w:rsidR="00BC388A" w:rsidRDefault="00140473">
            <w:pPr>
              <w:widowControl w:val="0"/>
              <w:pBdr>
                <w:top w:val="nil"/>
                <w:left w:val="nil"/>
                <w:bottom w:val="nil"/>
                <w:right w:val="nil"/>
                <w:between w:val="nil"/>
              </w:pBdr>
              <w:spacing w:after="0" w:line="240" w:lineRule="auto"/>
              <w:jc w:val="left"/>
              <w:rPr>
                <w:sz w:val="20"/>
                <w:szCs w:val="20"/>
              </w:rPr>
            </w:pPr>
            <w:proofErr w:type="spellStart"/>
            <w:r>
              <w:rPr>
                <w:sz w:val="20"/>
                <w:szCs w:val="20"/>
              </w:rPr>
              <w:t>WeNMR</w:t>
            </w:r>
            <w:proofErr w:type="spellEnd"/>
          </w:p>
        </w:tc>
        <w:tc>
          <w:tcPr>
            <w:tcW w:w="7380" w:type="dxa"/>
            <w:gridSpan w:val="4"/>
            <w:vMerge w:val="restart"/>
            <w:tcMar>
              <w:top w:w="100" w:type="dxa"/>
              <w:left w:w="100" w:type="dxa"/>
              <w:bottom w:w="100" w:type="dxa"/>
              <w:right w:w="100" w:type="dxa"/>
            </w:tcMar>
          </w:tcPr>
          <w:p w14:paraId="15A34F2A" w14:textId="77777777" w:rsidR="00BC388A" w:rsidRDefault="00BC388A">
            <w:pPr>
              <w:widowControl w:val="0"/>
              <w:spacing w:after="0" w:line="240" w:lineRule="auto"/>
              <w:jc w:val="center"/>
              <w:rPr>
                <w:b/>
                <w:sz w:val="20"/>
                <w:szCs w:val="20"/>
              </w:rPr>
            </w:pPr>
          </w:p>
          <w:p w14:paraId="3520C477" w14:textId="77777777" w:rsidR="00BC388A" w:rsidRDefault="00BC388A">
            <w:pPr>
              <w:widowControl w:val="0"/>
              <w:spacing w:after="0" w:line="240" w:lineRule="auto"/>
              <w:jc w:val="center"/>
              <w:rPr>
                <w:b/>
                <w:sz w:val="20"/>
                <w:szCs w:val="20"/>
              </w:rPr>
            </w:pPr>
          </w:p>
          <w:p w14:paraId="451DEAA3" w14:textId="77777777" w:rsidR="00BC388A" w:rsidRDefault="00140473">
            <w:pPr>
              <w:widowControl w:val="0"/>
              <w:spacing w:after="0" w:line="240" w:lineRule="auto"/>
              <w:jc w:val="center"/>
              <w:rPr>
                <w:b/>
                <w:sz w:val="20"/>
                <w:szCs w:val="20"/>
              </w:rPr>
            </w:pPr>
            <w:r>
              <w:rPr>
                <w:b/>
                <w:sz w:val="20"/>
                <w:szCs w:val="20"/>
              </w:rPr>
              <w:t xml:space="preserve">Computational platforms that do not manage data. </w:t>
            </w:r>
            <w:r>
              <w:rPr>
                <w:b/>
                <w:sz w:val="20"/>
                <w:szCs w:val="20"/>
              </w:rPr>
              <w:br/>
            </w:r>
            <w:proofErr w:type="spellStart"/>
            <w:r>
              <w:rPr>
                <w:b/>
                <w:sz w:val="20"/>
                <w:szCs w:val="20"/>
              </w:rPr>
              <w:t>FAIRness</w:t>
            </w:r>
            <w:proofErr w:type="spellEnd"/>
            <w:r>
              <w:rPr>
                <w:b/>
                <w:sz w:val="20"/>
                <w:szCs w:val="20"/>
              </w:rPr>
              <w:t xml:space="preserve"> cannot be interpreted for these. </w:t>
            </w:r>
          </w:p>
        </w:tc>
      </w:tr>
      <w:tr w:rsidR="00BC388A" w14:paraId="455FAA17" w14:textId="77777777">
        <w:trPr>
          <w:trHeight w:val="400"/>
          <w:jc w:val="center"/>
        </w:trPr>
        <w:tc>
          <w:tcPr>
            <w:tcW w:w="1665" w:type="dxa"/>
            <w:shd w:val="clear" w:color="auto" w:fill="auto"/>
            <w:tcMar>
              <w:top w:w="100" w:type="dxa"/>
              <w:left w:w="100" w:type="dxa"/>
              <w:bottom w:w="100" w:type="dxa"/>
              <w:right w:w="100" w:type="dxa"/>
            </w:tcMar>
          </w:tcPr>
          <w:p w14:paraId="7125E6F6" w14:textId="77777777" w:rsidR="00BC388A" w:rsidRDefault="00140473">
            <w:pPr>
              <w:widowControl w:val="0"/>
              <w:pBdr>
                <w:top w:val="nil"/>
                <w:left w:val="nil"/>
                <w:bottom w:val="nil"/>
                <w:right w:val="nil"/>
                <w:between w:val="nil"/>
              </w:pBdr>
              <w:spacing w:after="0" w:line="240" w:lineRule="auto"/>
              <w:jc w:val="left"/>
              <w:rPr>
                <w:sz w:val="20"/>
                <w:szCs w:val="20"/>
              </w:rPr>
            </w:pPr>
            <w:r>
              <w:rPr>
                <w:sz w:val="20"/>
                <w:szCs w:val="20"/>
              </w:rPr>
              <w:t>Virtual Imaging Platform</w:t>
            </w:r>
          </w:p>
          <w:p w14:paraId="561A5F6E" w14:textId="77777777" w:rsidR="00BC388A" w:rsidRDefault="00BC388A">
            <w:pPr>
              <w:widowControl w:val="0"/>
              <w:pBdr>
                <w:top w:val="nil"/>
                <w:left w:val="nil"/>
                <w:bottom w:val="nil"/>
                <w:right w:val="nil"/>
                <w:between w:val="nil"/>
              </w:pBdr>
              <w:spacing w:after="0" w:line="240" w:lineRule="auto"/>
              <w:jc w:val="left"/>
              <w:rPr>
                <w:sz w:val="20"/>
                <w:szCs w:val="20"/>
              </w:rPr>
            </w:pPr>
          </w:p>
        </w:tc>
        <w:tc>
          <w:tcPr>
            <w:tcW w:w="7380" w:type="dxa"/>
            <w:gridSpan w:val="4"/>
            <w:vMerge/>
            <w:tcMar>
              <w:top w:w="100" w:type="dxa"/>
              <w:left w:w="100" w:type="dxa"/>
              <w:bottom w:w="100" w:type="dxa"/>
              <w:right w:w="100" w:type="dxa"/>
            </w:tcMar>
          </w:tcPr>
          <w:p w14:paraId="4CCBE6BC" w14:textId="77777777" w:rsidR="00BC388A" w:rsidRDefault="00BC388A">
            <w:pPr>
              <w:widowControl w:val="0"/>
              <w:spacing w:after="0" w:line="240" w:lineRule="auto"/>
              <w:jc w:val="left"/>
              <w:rPr>
                <w:b/>
                <w:sz w:val="20"/>
                <w:szCs w:val="20"/>
              </w:rPr>
            </w:pPr>
          </w:p>
        </w:tc>
      </w:tr>
      <w:tr w:rsidR="00BC388A" w14:paraId="5FF743B2" w14:textId="77777777">
        <w:trPr>
          <w:trHeight w:val="400"/>
          <w:jc w:val="center"/>
        </w:trPr>
        <w:tc>
          <w:tcPr>
            <w:tcW w:w="1665" w:type="dxa"/>
            <w:shd w:val="clear" w:color="auto" w:fill="auto"/>
            <w:tcMar>
              <w:top w:w="100" w:type="dxa"/>
              <w:left w:w="100" w:type="dxa"/>
              <w:bottom w:w="100" w:type="dxa"/>
              <w:right w:w="100" w:type="dxa"/>
            </w:tcMar>
          </w:tcPr>
          <w:p w14:paraId="020D0E80" w14:textId="77777777" w:rsidR="00BC388A" w:rsidRDefault="00140473">
            <w:pPr>
              <w:widowControl w:val="0"/>
              <w:spacing w:after="0" w:line="240" w:lineRule="auto"/>
              <w:jc w:val="left"/>
              <w:rPr>
                <w:sz w:val="20"/>
                <w:szCs w:val="20"/>
              </w:rPr>
            </w:pPr>
            <w:r>
              <w:rPr>
                <w:sz w:val="20"/>
                <w:szCs w:val="20"/>
              </w:rPr>
              <w:lastRenderedPageBreak/>
              <w:t>PROMINENCE</w:t>
            </w:r>
          </w:p>
        </w:tc>
        <w:tc>
          <w:tcPr>
            <w:tcW w:w="7380" w:type="dxa"/>
            <w:gridSpan w:val="4"/>
            <w:vMerge/>
            <w:tcMar>
              <w:top w:w="100" w:type="dxa"/>
              <w:left w:w="100" w:type="dxa"/>
              <w:bottom w:w="100" w:type="dxa"/>
              <w:right w:w="100" w:type="dxa"/>
            </w:tcMar>
          </w:tcPr>
          <w:p w14:paraId="49F1E551" w14:textId="77777777" w:rsidR="00BC388A" w:rsidRDefault="00BC388A">
            <w:pPr>
              <w:widowControl w:val="0"/>
              <w:spacing w:after="0" w:line="240" w:lineRule="auto"/>
              <w:jc w:val="left"/>
              <w:rPr>
                <w:b/>
                <w:sz w:val="20"/>
                <w:szCs w:val="20"/>
              </w:rPr>
            </w:pPr>
          </w:p>
        </w:tc>
      </w:tr>
      <w:tr w:rsidR="00BC388A" w14:paraId="11E4D95B" w14:textId="77777777">
        <w:trPr>
          <w:trHeight w:val="400"/>
          <w:jc w:val="center"/>
        </w:trPr>
        <w:tc>
          <w:tcPr>
            <w:tcW w:w="1665" w:type="dxa"/>
            <w:shd w:val="clear" w:color="auto" w:fill="auto"/>
            <w:tcMar>
              <w:top w:w="100" w:type="dxa"/>
              <w:left w:w="100" w:type="dxa"/>
              <w:bottom w:w="100" w:type="dxa"/>
              <w:right w:w="100" w:type="dxa"/>
            </w:tcMar>
          </w:tcPr>
          <w:p w14:paraId="2BECEA64" w14:textId="77777777" w:rsidR="00BC388A" w:rsidRDefault="00140473">
            <w:pPr>
              <w:widowControl w:val="0"/>
              <w:pBdr>
                <w:top w:val="nil"/>
                <w:left w:val="nil"/>
                <w:bottom w:val="nil"/>
                <w:right w:val="nil"/>
                <w:between w:val="nil"/>
              </w:pBdr>
              <w:spacing w:after="0" w:line="240" w:lineRule="auto"/>
              <w:jc w:val="left"/>
              <w:rPr>
                <w:sz w:val="20"/>
                <w:szCs w:val="20"/>
              </w:rPr>
            </w:pPr>
            <w:proofErr w:type="spellStart"/>
            <w:r>
              <w:rPr>
                <w:sz w:val="20"/>
                <w:szCs w:val="20"/>
              </w:rPr>
              <w:t>OpenCoastS</w:t>
            </w:r>
            <w:proofErr w:type="spellEnd"/>
          </w:p>
        </w:tc>
        <w:tc>
          <w:tcPr>
            <w:tcW w:w="7380" w:type="dxa"/>
            <w:gridSpan w:val="4"/>
            <w:vMerge/>
            <w:tcMar>
              <w:top w:w="100" w:type="dxa"/>
              <w:left w:w="100" w:type="dxa"/>
              <w:bottom w:w="100" w:type="dxa"/>
              <w:right w:w="100" w:type="dxa"/>
            </w:tcMar>
          </w:tcPr>
          <w:p w14:paraId="3AE8D94B" w14:textId="77777777" w:rsidR="00BC388A" w:rsidRDefault="00BC388A">
            <w:pPr>
              <w:widowControl w:val="0"/>
              <w:spacing w:after="0" w:line="240" w:lineRule="auto"/>
              <w:jc w:val="left"/>
              <w:rPr>
                <w:b/>
                <w:sz w:val="20"/>
                <w:szCs w:val="20"/>
              </w:rPr>
            </w:pPr>
          </w:p>
        </w:tc>
      </w:tr>
      <w:tr w:rsidR="00BC388A" w14:paraId="64C156D6" w14:textId="77777777">
        <w:trPr>
          <w:trHeight w:val="400"/>
          <w:jc w:val="center"/>
        </w:trPr>
        <w:tc>
          <w:tcPr>
            <w:tcW w:w="1665" w:type="dxa"/>
            <w:shd w:val="clear" w:color="auto" w:fill="auto"/>
            <w:tcMar>
              <w:top w:w="100" w:type="dxa"/>
              <w:left w:w="100" w:type="dxa"/>
              <w:bottom w:w="100" w:type="dxa"/>
              <w:right w:w="100" w:type="dxa"/>
            </w:tcMar>
          </w:tcPr>
          <w:p w14:paraId="13733A00" w14:textId="77777777" w:rsidR="00BC388A" w:rsidRDefault="00140473">
            <w:pPr>
              <w:widowControl w:val="0"/>
              <w:spacing w:after="0" w:line="240" w:lineRule="auto"/>
              <w:jc w:val="left"/>
              <w:rPr>
                <w:sz w:val="20"/>
                <w:szCs w:val="20"/>
              </w:rPr>
            </w:pPr>
            <w:proofErr w:type="spellStart"/>
            <w:r>
              <w:rPr>
                <w:sz w:val="20"/>
                <w:szCs w:val="20"/>
              </w:rPr>
              <w:t>OpenRiskNet</w:t>
            </w:r>
            <w:proofErr w:type="spellEnd"/>
            <w:r>
              <w:rPr>
                <w:sz w:val="20"/>
                <w:szCs w:val="20"/>
              </w:rPr>
              <w:t>/</w:t>
            </w:r>
          </w:p>
          <w:p w14:paraId="4684BF7B" w14:textId="77777777" w:rsidR="00BC388A" w:rsidRDefault="00140473">
            <w:pPr>
              <w:widowControl w:val="0"/>
              <w:spacing w:after="0" w:line="240" w:lineRule="auto"/>
              <w:jc w:val="left"/>
              <w:rPr>
                <w:sz w:val="20"/>
                <w:szCs w:val="20"/>
              </w:rPr>
            </w:pPr>
            <w:proofErr w:type="spellStart"/>
            <w:r>
              <w:rPr>
                <w:sz w:val="20"/>
                <w:szCs w:val="20"/>
              </w:rPr>
              <w:t>NanoCommons</w:t>
            </w:r>
            <w:proofErr w:type="spellEnd"/>
          </w:p>
        </w:tc>
        <w:tc>
          <w:tcPr>
            <w:tcW w:w="7380" w:type="dxa"/>
            <w:gridSpan w:val="4"/>
            <w:vMerge w:val="restart"/>
            <w:tcMar>
              <w:top w:w="100" w:type="dxa"/>
              <w:left w:w="100" w:type="dxa"/>
              <w:bottom w:w="100" w:type="dxa"/>
              <w:right w:w="100" w:type="dxa"/>
            </w:tcMar>
          </w:tcPr>
          <w:p w14:paraId="6DB2B556" w14:textId="77777777" w:rsidR="00BC388A" w:rsidRDefault="00BC388A">
            <w:pPr>
              <w:widowControl w:val="0"/>
              <w:spacing w:after="0" w:line="240" w:lineRule="auto"/>
              <w:jc w:val="center"/>
              <w:rPr>
                <w:b/>
                <w:sz w:val="20"/>
                <w:szCs w:val="20"/>
              </w:rPr>
            </w:pPr>
          </w:p>
          <w:p w14:paraId="7BE39468" w14:textId="77777777" w:rsidR="00BC388A" w:rsidRDefault="00140473">
            <w:pPr>
              <w:widowControl w:val="0"/>
              <w:spacing w:after="0" w:line="240" w:lineRule="auto"/>
              <w:jc w:val="center"/>
              <w:rPr>
                <w:b/>
                <w:sz w:val="20"/>
                <w:szCs w:val="20"/>
              </w:rPr>
            </w:pPr>
            <w:r>
              <w:rPr>
                <w:b/>
                <w:sz w:val="20"/>
                <w:szCs w:val="20"/>
              </w:rPr>
              <w:t xml:space="preserve">Unfunded data spaces that are not ready yet for </w:t>
            </w:r>
            <w:proofErr w:type="spellStart"/>
            <w:r>
              <w:rPr>
                <w:b/>
                <w:sz w:val="20"/>
                <w:szCs w:val="20"/>
              </w:rPr>
              <w:t>FAIRness</w:t>
            </w:r>
            <w:proofErr w:type="spellEnd"/>
            <w:r>
              <w:rPr>
                <w:b/>
                <w:sz w:val="20"/>
                <w:szCs w:val="20"/>
              </w:rPr>
              <w:t xml:space="preserve"> assessment.</w:t>
            </w:r>
          </w:p>
        </w:tc>
      </w:tr>
      <w:tr w:rsidR="00BC388A" w14:paraId="3AB61EE6" w14:textId="77777777">
        <w:trPr>
          <w:trHeight w:val="400"/>
          <w:jc w:val="center"/>
        </w:trPr>
        <w:tc>
          <w:tcPr>
            <w:tcW w:w="1665" w:type="dxa"/>
            <w:shd w:val="clear" w:color="auto" w:fill="auto"/>
            <w:tcMar>
              <w:top w:w="100" w:type="dxa"/>
              <w:left w:w="100" w:type="dxa"/>
              <w:bottom w:w="100" w:type="dxa"/>
              <w:right w:w="100" w:type="dxa"/>
            </w:tcMar>
          </w:tcPr>
          <w:p w14:paraId="682D2FB9" w14:textId="77777777" w:rsidR="00BC388A" w:rsidRDefault="00140473">
            <w:pPr>
              <w:widowControl w:val="0"/>
              <w:pBdr>
                <w:top w:val="nil"/>
                <w:left w:val="nil"/>
                <w:bottom w:val="nil"/>
                <w:right w:val="nil"/>
                <w:between w:val="nil"/>
              </w:pBdr>
              <w:spacing w:after="0" w:line="240" w:lineRule="auto"/>
              <w:jc w:val="left"/>
              <w:rPr>
                <w:sz w:val="20"/>
                <w:szCs w:val="20"/>
              </w:rPr>
            </w:pPr>
            <w:r>
              <w:rPr>
                <w:sz w:val="20"/>
                <w:szCs w:val="20"/>
              </w:rPr>
              <w:t>OPERAS DOAB</w:t>
            </w:r>
          </w:p>
        </w:tc>
        <w:tc>
          <w:tcPr>
            <w:tcW w:w="7380" w:type="dxa"/>
            <w:gridSpan w:val="4"/>
            <w:vMerge/>
            <w:tcMar>
              <w:top w:w="100" w:type="dxa"/>
              <w:left w:w="100" w:type="dxa"/>
              <w:bottom w:w="100" w:type="dxa"/>
              <w:right w:w="100" w:type="dxa"/>
            </w:tcMar>
          </w:tcPr>
          <w:p w14:paraId="288CC033" w14:textId="77777777" w:rsidR="00BC388A" w:rsidRDefault="00BC388A">
            <w:pPr>
              <w:widowControl w:val="0"/>
              <w:spacing w:after="0" w:line="240" w:lineRule="auto"/>
              <w:jc w:val="left"/>
              <w:rPr>
                <w:b/>
                <w:sz w:val="20"/>
                <w:szCs w:val="20"/>
              </w:rPr>
            </w:pPr>
          </w:p>
        </w:tc>
      </w:tr>
    </w:tbl>
    <w:p w14:paraId="42BC4E59" w14:textId="77777777" w:rsidR="00BC388A" w:rsidRDefault="00140473" w:rsidP="00567C6D">
      <w:pPr>
        <w:pStyle w:val="Heading1"/>
        <w:numPr>
          <w:ilvl w:val="0"/>
          <w:numId w:val="0"/>
        </w:numPr>
      </w:pPr>
      <w:bookmarkStart w:id="25" w:name="_heading=h.vkestybnogss" w:colFirst="0" w:colLast="0"/>
      <w:bookmarkStart w:id="26" w:name="_heading=h.pxzma265plx8" w:colFirst="0" w:colLast="0"/>
      <w:bookmarkStart w:id="27" w:name="_Toc90565255"/>
      <w:bookmarkEnd w:id="25"/>
      <w:bookmarkEnd w:id="26"/>
      <w:r>
        <w:lastRenderedPageBreak/>
        <w:t>7. Conclusions</w:t>
      </w:r>
      <w:bookmarkEnd w:id="27"/>
    </w:p>
    <w:p w14:paraId="4D169468" w14:textId="77777777" w:rsidR="00BC388A" w:rsidRDefault="00140473">
      <w:r>
        <w:t xml:space="preserve">The document provided details on the 4 main EOSC integration areas: Service portfolio integration, Technical integration, Service Management System alignment, FAIR maturity alignment. </w:t>
      </w:r>
    </w:p>
    <w:p w14:paraId="76483F15" w14:textId="77777777" w:rsidR="00BC388A" w:rsidRDefault="00140473">
      <w:r>
        <w:t>The level of integration on all of these areas are already very high, but there are a number of actions remaining in each area for the next 18 months of the project:</w:t>
      </w:r>
    </w:p>
    <w:p w14:paraId="4CA8F8A5" w14:textId="77777777" w:rsidR="00BC388A" w:rsidRDefault="00140473">
      <w:pPr>
        <w:numPr>
          <w:ilvl w:val="0"/>
          <w:numId w:val="13"/>
        </w:numPr>
        <w:spacing w:after="0"/>
      </w:pPr>
      <w:r>
        <w:t>Service portfolio integration: Reach full integration into the EOSC Portal, and increase integration into the EGI Service portfolios:</w:t>
      </w:r>
    </w:p>
    <w:p w14:paraId="0957C110" w14:textId="77777777" w:rsidR="00BC388A" w:rsidRDefault="00140473">
      <w:pPr>
        <w:numPr>
          <w:ilvl w:val="1"/>
          <w:numId w:val="13"/>
        </w:numPr>
        <w:spacing w:after="0"/>
      </w:pPr>
      <w:r>
        <w:t>2 more generic services (AppDB, Binder), and 5 thematic services (</w:t>
      </w:r>
      <w:proofErr w:type="spellStart"/>
      <w:r>
        <w:t>OpenRiskNet</w:t>
      </w:r>
      <w:proofErr w:type="spellEnd"/>
      <w:r>
        <w:t>/</w:t>
      </w:r>
      <w:proofErr w:type="spellStart"/>
      <w:r>
        <w:t>NanoCommons</w:t>
      </w:r>
      <w:proofErr w:type="spellEnd"/>
      <w:r>
        <w:t xml:space="preserve">, PROMINENCE, LOFAR Science Products, </w:t>
      </w:r>
      <w:proofErr w:type="spellStart"/>
      <w:r>
        <w:t>SeaDataNet</w:t>
      </w:r>
      <w:proofErr w:type="spellEnd"/>
      <w:r>
        <w:t xml:space="preserve"> and GBIF Cloud data space) to finish the onboarding in the EOSC Portal.</w:t>
      </w:r>
    </w:p>
    <w:p w14:paraId="0696449A" w14:textId="77777777" w:rsidR="00BC388A" w:rsidRDefault="00140473">
      <w:pPr>
        <w:numPr>
          <w:ilvl w:val="1"/>
          <w:numId w:val="13"/>
        </w:numPr>
        <w:spacing w:after="0"/>
      </w:pPr>
      <w:r>
        <w:t>Finish the integration of the ‘Data Orchestrator’ and ‘Content distribution’ services to the EGI External Catalogue.</w:t>
      </w:r>
    </w:p>
    <w:p w14:paraId="4DD28DDA" w14:textId="77777777" w:rsidR="00BC388A" w:rsidRDefault="00140473">
      <w:pPr>
        <w:numPr>
          <w:ilvl w:val="1"/>
          <w:numId w:val="13"/>
        </w:numPr>
        <w:spacing w:after="0"/>
      </w:pPr>
      <w:r>
        <w:t xml:space="preserve">Decide on and implement the integration of the </w:t>
      </w:r>
      <w:proofErr w:type="spellStart"/>
      <w:r>
        <w:t>OpenRDM</w:t>
      </w:r>
      <w:proofErr w:type="spellEnd"/>
      <w:r>
        <w:t xml:space="preserve">, EC3, Infrastructure Manager, DODAS, Binder, Indigo PaaS Orchestrator, DEEP training solution services to the EGI External Catalogue. </w:t>
      </w:r>
    </w:p>
    <w:p w14:paraId="2198D018" w14:textId="77777777" w:rsidR="00BC388A" w:rsidRDefault="00140473">
      <w:pPr>
        <w:numPr>
          <w:ilvl w:val="0"/>
          <w:numId w:val="13"/>
        </w:numPr>
        <w:spacing w:after="0"/>
      </w:pPr>
      <w:r>
        <w:t>Technical integration: Increase technical interoperability with the EOSC Core and with relevant services of EOSC-Exchange:</w:t>
      </w:r>
    </w:p>
    <w:p w14:paraId="7E73F1C5" w14:textId="77777777" w:rsidR="00BC388A" w:rsidRDefault="00140473">
      <w:pPr>
        <w:numPr>
          <w:ilvl w:val="1"/>
          <w:numId w:val="13"/>
        </w:numPr>
        <w:spacing w:after="0"/>
      </w:pPr>
      <w:r>
        <w:t>Contribute to the establishment of the EOSC Interoperability Framework with a focus on the interfaces for interconnecting the EOSC Compute platform to the Core.</w:t>
      </w:r>
    </w:p>
    <w:p w14:paraId="410F1697" w14:textId="77777777" w:rsidR="00BC388A" w:rsidRDefault="00140473">
      <w:pPr>
        <w:numPr>
          <w:ilvl w:val="1"/>
          <w:numId w:val="13"/>
        </w:numPr>
        <w:spacing w:after="0"/>
      </w:pPr>
      <w:r>
        <w:t xml:space="preserve">Develop additional compatibility demonstrators across EGI-ACE services and non-EGI-ACE services of the EOSC-Exchange, particularly with the services of the INFRAEOSC-07 projects. </w:t>
      </w:r>
    </w:p>
    <w:p w14:paraId="7AE27ACA" w14:textId="77777777" w:rsidR="00BC388A" w:rsidRDefault="00140473">
      <w:pPr>
        <w:numPr>
          <w:ilvl w:val="0"/>
          <w:numId w:val="13"/>
        </w:numPr>
        <w:spacing w:after="0"/>
      </w:pPr>
      <w:r>
        <w:t>Service Management System: Improve the service delivery maturity of EGI-ACE providers by</w:t>
      </w:r>
    </w:p>
    <w:p w14:paraId="5D8D92B7" w14:textId="77777777" w:rsidR="00BC388A" w:rsidRDefault="00140473">
      <w:pPr>
        <w:numPr>
          <w:ilvl w:val="1"/>
          <w:numId w:val="13"/>
        </w:numPr>
        <w:spacing w:after="0"/>
      </w:pPr>
      <w:r>
        <w:t>Review, improve and update the documentation and training materials.</w:t>
      </w:r>
    </w:p>
    <w:p w14:paraId="1B424FB9" w14:textId="77777777" w:rsidR="00BC388A" w:rsidRDefault="00140473">
      <w:pPr>
        <w:numPr>
          <w:ilvl w:val="1"/>
          <w:numId w:val="13"/>
        </w:numPr>
        <w:spacing w:after="0"/>
      </w:pPr>
      <w:r>
        <w:t>Conduct self and external evaluations to verify whether the service management requirements are being met.</w:t>
      </w:r>
    </w:p>
    <w:p w14:paraId="59F92C7F" w14:textId="77777777" w:rsidR="00BC388A" w:rsidRDefault="00140473">
      <w:pPr>
        <w:numPr>
          <w:ilvl w:val="1"/>
          <w:numId w:val="13"/>
        </w:numPr>
        <w:spacing w:after="0"/>
      </w:pPr>
      <w:r>
        <w:t xml:space="preserve">Provide training and support for service providers to increase the maturity of their service management system. </w:t>
      </w:r>
    </w:p>
    <w:p w14:paraId="472CD822" w14:textId="77777777" w:rsidR="00BC388A" w:rsidRDefault="00140473">
      <w:pPr>
        <w:numPr>
          <w:ilvl w:val="0"/>
          <w:numId w:val="13"/>
        </w:numPr>
        <w:spacing w:after="0"/>
      </w:pPr>
      <w:r>
        <w:t xml:space="preserve">FAIR maturity: Increase </w:t>
      </w:r>
      <w:proofErr w:type="spellStart"/>
      <w:r>
        <w:t>FAIRness</w:t>
      </w:r>
      <w:proofErr w:type="spellEnd"/>
      <w:r>
        <w:t xml:space="preserve"> of the data spaces with the primary focus on:</w:t>
      </w:r>
    </w:p>
    <w:p w14:paraId="1E6C5B95" w14:textId="77777777" w:rsidR="00BC388A" w:rsidRDefault="00140473">
      <w:pPr>
        <w:numPr>
          <w:ilvl w:val="1"/>
          <w:numId w:val="13"/>
        </w:numPr>
        <w:spacing w:after="0"/>
      </w:pPr>
      <w:r>
        <w:t>Improving the Findability features of the Disaster Mitigation and Agriculture data space.</w:t>
      </w:r>
    </w:p>
    <w:p w14:paraId="3E0224B1" w14:textId="77777777" w:rsidR="00BC388A" w:rsidRDefault="00140473">
      <w:pPr>
        <w:numPr>
          <w:ilvl w:val="1"/>
          <w:numId w:val="13"/>
        </w:numPr>
        <w:spacing w:after="0"/>
      </w:pPr>
      <w:r>
        <w:t>Increasing the Reusability features of the EMSO ERIC data space.</w:t>
      </w:r>
    </w:p>
    <w:p w14:paraId="734671AA" w14:textId="77777777" w:rsidR="00BC388A" w:rsidRDefault="00140473">
      <w:pPr>
        <w:numPr>
          <w:ilvl w:val="1"/>
          <w:numId w:val="13"/>
        </w:numPr>
      </w:pPr>
      <w:r>
        <w:t>Increasing the Interoperability features of the LOFAR Science Project and EMSO ERIC data spaces.</w:t>
      </w:r>
    </w:p>
    <w:p w14:paraId="70837F04" w14:textId="77777777" w:rsidR="00BC388A" w:rsidRDefault="00140473" w:rsidP="00567C6D">
      <w:pPr>
        <w:pStyle w:val="Heading1"/>
        <w:numPr>
          <w:ilvl w:val="0"/>
          <w:numId w:val="0"/>
        </w:numPr>
      </w:pPr>
      <w:bookmarkStart w:id="28" w:name="_Toc90565256"/>
      <w:r>
        <w:lastRenderedPageBreak/>
        <w:t>Appendix 1 - FAIR maturity assessment sheet</w:t>
      </w:r>
      <w:bookmarkEnd w:id="28"/>
    </w:p>
    <w:p w14:paraId="7FACAAD2" w14:textId="77777777" w:rsidR="00BC388A" w:rsidRDefault="00140473">
      <w:r>
        <w:t xml:space="preserve">The template used in EGI-ACE to assess the </w:t>
      </w:r>
      <w:proofErr w:type="spellStart"/>
      <w:r>
        <w:t>FAIRness</w:t>
      </w:r>
      <w:proofErr w:type="spellEnd"/>
      <w:r>
        <w:t xml:space="preserve"> maturity of the Data Spaces is the following:</w:t>
      </w:r>
    </w:p>
    <w:tbl>
      <w:tblPr>
        <w:tblStyle w:val="af4"/>
        <w:tblW w:w="90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10"/>
        <w:gridCol w:w="1350"/>
        <w:gridCol w:w="900"/>
      </w:tblGrid>
      <w:tr w:rsidR="00BC388A" w14:paraId="4D4C6C20" w14:textId="77777777">
        <w:tc>
          <w:tcPr>
            <w:tcW w:w="6810" w:type="dxa"/>
            <w:shd w:val="clear" w:color="auto" w:fill="FF9900"/>
            <w:tcMar>
              <w:top w:w="100" w:type="dxa"/>
              <w:left w:w="100" w:type="dxa"/>
              <w:bottom w:w="100" w:type="dxa"/>
              <w:right w:w="100" w:type="dxa"/>
            </w:tcMar>
          </w:tcPr>
          <w:p w14:paraId="1E22298F" w14:textId="77777777" w:rsidR="00BC388A" w:rsidRDefault="00140473">
            <w:pPr>
              <w:widowControl w:val="0"/>
              <w:pBdr>
                <w:top w:val="nil"/>
                <w:left w:val="nil"/>
                <w:bottom w:val="nil"/>
                <w:right w:val="nil"/>
                <w:between w:val="nil"/>
              </w:pBdr>
              <w:spacing w:after="0" w:line="240" w:lineRule="auto"/>
              <w:jc w:val="left"/>
              <w:rPr>
                <w:b/>
              </w:rPr>
            </w:pPr>
            <w:r>
              <w:rPr>
                <w:b/>
              </w:rPr>
              <w:t>Indicators for Findable</w:t>
            </w:r>
          </w:p>
        </w:tc>
        <w:tc>
          <w:tcPr>
            <w:tcW w:w="1350" w:type="dxa"/>
            <w:shd w:val="clear" w:color="auto" w:fill="FF9900"/>
            <w:tcMar>
              <w:top w:w="100" w:type="dxa"/>
              <w:left w:w="100" w:type="dxa"/>
              <w:bottom w:w="100" w:type="dxa"/>
              <w:right w:w="100" w:type="dxa"/>
            </w:tcMar>
          </w:tcPr>
          <w:p w14:paraId="1FA122C0" w14:textId="77777777" w:rsidR="00BC388A" w:rsidRDefault="00140473">
            <w:pPr>
              <w:widowControl w:val="0"/>
              <w:pBdr>
                <w:top w:val="nil"/>
                <w:left w:val="nil"/>
                <w:bottom w:val="nil"/>
                <w:right w:val="nil"/>
                <w:between w:val="nil"/>
              </w:pBdr>
              <w:spacing w:after="0" w:line="240" w:lineRule="auto"/>
              <w:jc w:val="left"/>
              <w:rPr>
                <w:b/>
              </w:rPr>
            </w:pPr>
            <w:r>
              <w:rPr>
                <w:b/>
              </w:rPr>
              <w:t>Priority</w:t>
            </w:r>
          </w:p>
        </w:tc>
        <w:tc>
          <w:tcPr>
            <w:tcW w:w="900" w:type="dxa"/>
            <w:shd w:val="clear" w:color="auto" w:fill="FF9900"/>
            <w:tcMar>
              <w:top w:w="100" w:type="dxa"/>
              <w:left w:w="100" w:type="dxa"/>
              <w:bottom w:w="100" w:type="dxa"/>
              <w:right w:w="100" w:type="dxa"/>
            </w:tcMar>
          </w:tcPr>
          <w:p w14:paraId="03BEE463" w14:textId="77777777" w:rsidR="00BC388A" w:rsidRDefault="00140473">
            <w:pPr>
              <w:widowControl w:val="0"/>
              <w:pBdr>
                <w:top w:val="nil"/>
                <w:left w:val="nil"/>
                <w:bottom w:val="nil"/>
                <w:right w:val="nil"/>
                <w:between w:val="nil"/>
              </w:pBdr>
              <w:spacing w:after="0" w:line="240" w:lineRule="auto"/>
              <w:jc w:val="left"/>
              <w:rPr>
                <w:b/>
              </w:rPr>
            </w:pPr>
            <w:r>
              <w:rPr>
                <w:b/>
              </w:rPr>
              <w:t>Results</w:t>
            </w:r>
          </w:p>
        </w:tc>
      </w:tr>
      <w:tr w:rsidR="00BC388A" w14:paraId="0B8A1B9B" w14:textId="77777777">
        <w:tc>
          <w:tcPr>
            <w:tcW w:w="6810" w:type="dxa"/>
            <w:shd w:val="clear" w:color="auto" w:fill="auto"/>
            <w:tcMar>
              <w:top w:w="100" w:type="dxa"/>
              <w:left w:w="100" w:type="dxa"/>
              <w:bottom w:w="100" w:type="dxa"/>
              <w:right w:w="100" w:type="dxa"/>
            </w:tcMar>
          </w:tcPr>
          <w:p w14:paraId="07DCF061" w14:textId="77777777" w:rsidR="00BC388A" w:rsidRDefault="00140473">
            <w:pPr>
              <w:widowControl w:val="0"/>
              <w:pBdr>
                <w:top w:val="nil"/>
                <w:left w:val="nil"/>
                <w:bottom w:val="nil"/>
                <w:right w:val="nil"/>
                <w:between w:val="nil"/>
              </w:pBdr>
              <w:spacing w:after="0" w:line="240" w:lineRule="auto"/>
              <w:jc w:val="left"/>
              <w:rPr>
                <w:rFonts w:ascii="Roboto" w:eastAsia="Roboto" w:hAnsi="Roboto" w:cs="Roboto"/>
                <w:sz w:val="20"/>
                <w:szCs w:val="20"/>
              </w:rPr>
            </w:pPr>
            <w:r>
              <w:rPr>
                <w:b/>
                <w:color w:val="FF0000"/>
              </w:rPr>
              <w:t>RDA-F1-01M</w:t>
            </w:r>
            <w:r>
              <w:t xml:space="preserve"> Metadata identified by a persistent identifier.</w:t>
            </w:r>
            <w:r>
              <w:br/>
            </w:r>
            <w:sdt>
              <w:sdtPr>
                <w:tag w:val="goog_rdk_0"/>
                <w:id w:val="-1882233330"/>
              </w:sdtPr>
              <w:sdtEndPr/>
              <w:sdtContent>
                <w:r>
                  <w:rPr>
                    <w:rFonts w:ascii="Arial Unicode MS" w:eastAsia="Arial Unicode MS" w:hAnsi="Arial Unicode MS" w:cs="Arial Unicode MS"/>
                    <w:sz w:val="20"/>
                    <w:szCs w:val="20"/>
                  </w:rPr>
                  <w:t>● Principle: F1 (meta)data are assigned a globally unique and eternally persistent identifier.</w:t>
                </w:r>
                <w:r>
                  <w:rPr>
                    <w:rFonts w:ascii="Arial Unicode MS" w:eastAsia="Arial Unicode MS" w:hAnsi="Arial Unicode MS" w:cs="Arial Unicode MS"/>
                    <w:sz w:val="20"/>
                    <w:szCs w:val="20"/>
                  </w:rPr>
                  <w:br/>
                  <w:t>● Description: This indicator evaluates whether or not the metadata is identified by a persistent identifier. A persistent identifier ensures that the metadata will remain findable over time and reduces the risk of broken links.</w:t>
                </w:r>
                <w:r>
                  <w:rPr>
                    <w:rFonts w:ascii="Arial Unicode MS" w:eastAsia="Arial Unicode MS" w:hAnsi="Arial Unicode MS" w:cs="Arial Unicode MS"/>
                    <w:sz w:val="20"/>
                    <w:szCs w:val="20"/>
                  </w:rPr>
                  <w:br/>
                  <w:t>● Assessment details: The persistence of an identifier is determined by the commitment of the organisation that assigns and manages the identifier, so the evaluation of this</w:t>
                </w:r>
              </w:sdtContent>
            </w:sdt>
          </w:p>
          <w:p w14:paraId="41FE6A2B" w14:textId="77777777" w:rsidR="00BC388A" w:rsidRDefault="00140473">
            <w:pPr>
              <w:widowControl w:val="0"/>
              <w:pBdr>
                <w:top w:val="nil"/>
                <w:left w:val="nil"/>
                <w:bottom w:val="nil"/>
                <w:right w:val="nil"/>
                <w:between w:val="nil"/>
              </w:pBdr>
              <w:spacing w:after="0" w:line="240" w:lineRule="auto"/>
              <w:jc w:val="left"/>
              <w:rPr>
                <w:rFonts w:ascii="Roboto" w:eastAsia="Roboto" w:hAnsi="Roboto" w:cs="Roboto"/>
                <w:sz w:val="20"/>
                <w:szCs w:val="20"/>
              </w:rPr>
            </w:pPr>
            <w:r>
              <w:rPr>
                <w:rFonts w:ascii="Roboto" w:eastAsia="Roboto" w:hAnsi="Roboto" w:cs="Roboto"/>
                <w:sz w:val="20"/>
                <w:szCs w:val="20"/>
              </w:rPr>
              <w:t xml:space="preserve">indicator needs to take into account the persistence policy of that organisation. Such a commitment could be expressed by a university </w:t>
            </w:r>
            <w:proofErr w:type="spellStart"/>
            <w:r>
              <w:rPr>
                <w:rFonts w:ascii="Roboto" w:eastAsia="Roboto" w:hAnsi="Roboto" w:cs="Roboto"/>
                <w:sz w:val="20"/>
                <w:szCs w:val="20"/>
              </w:rPr>
              <w:t>o r</w:t>
            </w:r>
            <w:proofErr w:type="spellEnd"/>
            <w:r>
              <w:rPr>
                <w:rFonts w:ascii="Roboto" w:eastAsia="Roboto" w:hAnsi="Roboto" w:cs="Roboto"/>
                <w:sz w:val="20"/>
                <w:szCs w:val="20"/>
              </w:rPr>
              <w:t xml:space="preserve"> research institute,</w:t>
            </w:r>
          </w:p>
          <w:p w14:paraId="583BBE8C" w14:textId="77777777" w:rsidR="00BC388A" w:rsidRDefault="00140473">
            <w:pPr>
              <w:widowControl w:val="0"/>
              <w:pBdr>
                <w:top w:val="nil"/>
                <w:left w:val="nil"/>
                <w:bottom w:val="nil"/>
                <w:right w:val="nil"/>
                <w:between w:val="nil"/>
              </w:pBdr>
              <w:spacing w:after="0" w:line="240" w:lineRule="auto"/>
              <w:jc w:val="left"/>
              <w:rPr>
                <w:rFonts w:ascii="Roboto" w:eastAsia="Roboto" w:hAnsi="Roboto" w:cs="Roboto"/>
                <w:sz w:val="20"/>
                <w:szCs w:val="20"/>
              </w:rPr>
            </w:pPr>
            <w:r>
              <w:rPr>
                <w:rFonts w:ascii="Roboto" w:eastAsia="Roboto" w:hAnsi="Roboto" w:cs="Roboto"/>
                <w:sz w:val="20"/>
                <w:szCs w:val="20"/>
              </w:rPr>
              <w:t>by a research infrastructure or by an organisation that issues formal identifiers, such as the International DOI Foundation. A possible way to evaluate this</w:t>
            </w:r>
          </w:p>
          <w:p w14:paraId="0709F347" w14:textId="77777777" w:rsidR="00BC388A" w:rsidRDefault="00140473">
            <w:pPr>
              <w:widowControl w:val="0"/>
              <w:pBdr>
                <w:top w:val="nil"/>
                <w:left w:val="nil"/>
                <w:bottom w:val="nil"/>
                <w:right w:val="nil"/>
                <w:between w:val="nil"/>
              </w:pBdr>
              <w:spacing w:after="0" w:line="240" w:lineRule="auto"/>
              <w:jc w:val="left"/>
              <w:rPr>
                <w:rFonts w:ascii="Roboto" w:eastAsia="Roboto" w:hAnsi="Roboto" w:cs="Roboto"/>
                <w:sz w:val="20"/>
                <w:szCs w:val="20"/>
              </w:rPr>
            </w:pPr>
            <w:r>
              <w:rPr>
                <w:rFonts w:ascii="Roboto" w:eastAsia="Roboto" w:hAnsi="Roboto" w:cs="Roboto"/>
                <w:sz w:val="20"/>
                <w:szCs w:val="20"/>
              </w:rPr>
              <w:t xml:space="preserve">indicator is to verify that the identifier used for the metadata is listed in a registry service like the RDA-endorsed </w:t>
            </w:r>
            <w:proofErr w:type="spellStart"/>
            <w:r>
              <w:rPr>
                <w:rFonts w:ascii="Roboto" w:eastAsia="Roboto" w:hAnsi="Roboto" w:cs="Roboto"/>
                <w:sz w:val="20"/>
                <w:szCs w:val="20"/>
              </w:rPr>
              <w:t>FAIRsharing</w:t>
            </w:r>
            <w:proofErr w:type="spellEnd"/>
            <w:r>
              <w:rPr>
                <w:rFonts w:ascii="Roboto" w:eastAsia="Roboto" w:hAnsi="Roboto" w:cs="Roboto"/>
                <w:sz w:val="20"/>
                <w:szCs w:val="20"/>
              </w:rPr>
              <w:t>.</w:t>
            </w:r>
          </w:p>
        </w:tc>
        <w:tc>
          <w:tcPr>
            <w:tcW w:w="1350" w:type="dxa"/>
            <w:shd w:val="clear" w:color="auto" w:fill="auto"/>
            <w:tcMar>
              <w:top w:w="100" w:type="dxa"/>
              <w:left w:w="100" w:type="dxa"/>
              <w:bottom w:w="100" w:type="dxa"/>
              <w:right w:w="100" w:type="dxa"/>
            </w:tcMar>
          </w:tcPr>
          <w:p w14:paraId="23C6AC48" w14:textId="77777777" w:rsidR="00BC388A" w:rsidRDefault="00140473">
            <w:pPr>
              <w:widowControl w:val="0"/>
              <w:pBdr>
                <w:top w:val="nil"/>
                <w:left w:val="nil"/>
                <w:bottom w:val="nil"/>
                <w:right w:val="nil"/>
                <w:between w:val="nil"/>
              </w:pBdr>
              <w:spacing w:after="0" w:line="240" w:lineRule="auto"/>
              <w:jc w:val="left"/>
              <w:rPr>
                <w:b/>
                <w:color w:val="FF0000"/>
              </w:rPr>
            </w:pPr>
            <w:r>
              <w:rPr>
                <w:b/>
                <w:color w:val="FF0000"/>
              </w:rPr>
              <w:t>Essential</w:t>
            </w:r>
          </w:p>
        </w:tc>
        <w:tc>
          <w:tcPr>
            <w:tcW w:w="900" w:type="dxa"/>
            <w:shd w:val="clear" w:color="auto" w:fill="auto"/>
            <w:tcMar>
              <w:top w:w="100" w:type="dxa"/>
              <w:left w:w="100" w:type="dxa"/>
              <w:bottom w:w="100" w:type="dxa"/>
              <w:right w:w="100" w:type="dxa"/>
            </w:tcMar>
          </w:tcPr>
          <w:p w14:paraId="17CC168F" w14:textId="77777777" w:rsidR="00BC388A" w:rsidRDefault="00140473">
            <w:pPr>
              <w:widowControl w:val="0"/>
              <w:pBdr>
                <w:top w:val="nil"/>
                <w:left w:val="nil"/>
                <w:bottom w:val="nil"/>
                <w:right w:val="nil"/>
                <w:between w:val="nil"/>
              </w:pBdr>
              <w:spacing w:after="0" w:line="240" w:lineRule="auto"/>
              <w:jc w:val="left"/>
            </w:pPr>
            <w:r>
              <w:t>TRUE/FALSE</w:t>
            </w:r>
          </w:p>
        </w:tc>
      </w:tr>
      <w:tr w:rsidR="00BC388A" w14:paraId="2743EB90" w14:textId="77777777">
        <w:tc>
          <w:tcPr>
            <w:tcW w:w="6810" w:type="dxa"/>
            <w:shd w:val="clear" w:color="auto" w:fill="auto"/>
            <w:tcMar>
              <w:top w:w="100" w:type="dxa"/>
              <w:left w:w="100" w:type="dxa"/>
              <w:bottom w:w="100" w:type="dxa"/>
              <w:right w:w="100" w:type="dxa"/>
            </w:tcMar>
          </w:tcPr>
          <w:p w14:paraId="4C51D0DD" w14:textId="77777777" w:rsidR="00BC388A" w:rsidRDefault="00140473">
            <w:pPr>
              <w:widowControl w:val="0"/>
              <w:spacing w:after="0" w:line="240" w:lineRule="auto"/>
              <w:jc w:val="left"/>
            </w:pPr>
            <w:r>
              <w:rPr>
                <w:b/>
                <w:color w:val="FF0000"/>
              </w:rPr>
              <w:t>RDA-F1-01D</w:t>
            </w:r>
            <w:r>
              <w:t xml:space="preserve"> Data identified by a persistent identifier.</w:t>
            </w:r>
          </w:p>
          <w:p w14:paraId="79C69A07"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1"/>
                <w:id w:val="-2081517918"/>
              </w:sdtPr>
              <w:sdtEndPr/>
              <w:sdtContent>
                <w:r w:rsidR="00140473">
                  <w:rPr>
                    <w:rFonts w:ascii="Arial Unicode MS" w:eastAsia="Arial Unicode MS" w:hAnsi="Arial Unicode MS" w:cs="Arial Unicode MS"/>
                    <w:sz w:val="20"/>
                    <w:szCs w:val="20"/>
                    <w:highlight w:val="white"/>
                  </w:rPr>
                  <w:t>● Principle: F1 (meta)data are assigned a globally unique and eternally persistent identifier.</w:t>
                </w:r>
                <w:r w:rsidR="00140473">
                  <w:rPr>
                    <w:rFonts w:ascii="Arial Unicode MS" w:eastAsia="Arial Unicode MS" w:hAnsi="Arial Unicode MS" w:cs="Arial Unicode MS"/>
                    <w:sz w:val="20"/>
                    <w:szCs w:val="20"/>
                    <w:highlight w:val="white"/>
                  </w:rPr>
                  <w:br/>
                  <w:t>● Description: This indicator evaluates whether or not the metadata is identified by a persistent identifier. A persistent identifier ensures that the metadata will remain findable over time and reduces the risk of broken links.</w:t>
                </w:r>
              </w:sdtContent>
            </w:sdt>
          </w:p>
          <w:p w14:paraId="53100663"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2"/>
                <w:id w:val="1132831786"/>
              </w:sdtPr>
              <w:sdtEndPr/>
              <w:sdtContent>
                <w:r w:rsidR="00140473">
                  <w:rPr>
                    <w:rFonts w:ascii="Arial Unicode MS" w:eastAsia="Arial Unicode MS" w:hAnsi="Arial Unicode MS" w:cs="Arial Unicode MS"/>
                    <w:sz w:val="20"/>
                    <w:szCs w:val="20"/>
                    <w:highlight w:val="white"/>
                  </w:rPr>
                  <w:t xml:space="preserve">● Assessment details: The persistence of an identifier is determined by the commitment of the organisation that assigns and manages the identifier, so the evaluation of this indicator needs to take into account the persistence policy of that organisation. Such a commitment could be expressed by a university or research institute, by a research </w:t>
                </w:r>
              </w:sdtContent>
            </w:sdt>
          </w:p>
          <w:p w14:paraId="28D1E9F2" w14:textId="77777777" w:rsidR="00BC388A" w:rsidRDefault="00140473">
            <w:pPr>
              <w:widowControl w:val="0"/>
              <w:spacing w:after="0" w:line="240" w:lineRule="auto"/>
              <w:jc w:val="left"/>
              <w:rPr>
                <w:rFonts w:ascii="Roboto" w:eastAsia="Roboto" w:hAnsi="Roboto" w:cs="Roboto"/>
                <w:sz w:val="20"/>
                <w:szCs w:val="20"/>
                <w:highlight w:val="white"/>
              </w:rPr>
            </w:pPr>
            <w:r>
              <w:rPr>
                <w:rFonts w:ascii="Roboto" w:eastAsia="Roboto" w:hAnsi="Roboto" w:cs="Roboto"/>
                <w:sz w:val="20"/>
                <w:szCs w:val="20"/>
                <w:highlight w:val="white"/>
              </w:rPr>
              <w:t>infrastructure or by an organisation that issues formal identifiers,</w:t>
            </w:r>
          </w:p>
          <w:p w14:paraId="1808A48F" w14:textId="77777777" w:rsidR="00BC388A" w:rsidRDefault="00140473">
            <w:pPr>
              <w:widowControl w:val="0"/>
              <w:spacing w:after="0" w:line="240" w:lineRule="auto"/>
              <w:jc w:val="left"/>
              <w:rPr>
                <w:rFonts w:ascii="Roboto" w:eastAsia="Roboto" w:hAnsi="Roboto" w:cs="Roboto"/>
                <w:sz w:val="20"/>
                <w:szCs w:val="20"/>
                <w:highlight w:val="white"/>
              </w:rPr>
            </w:pPr>
            <w:r>
              <w:rPr>
                <w:rFonts w:ascii="Roboto" w:eastAsia="Roboto" w:hAnsi="Roboto" w:cs="Roboto"/>
                <w:sz w:val="20"/>
                <w:szCs w:val="20"/>
                <w:highlight w:val="white"/>
              </w:rPr>
              <w:t>such as the International DOI Foundation. A possible way to evaluate this</w:t>
            </w:r>
          </w:p>
          <w:p w14:paraId="1E9DCBE8" w14:textId="77777777" w:rsidR="00BC388A" w:rsidRDefault="00140473">
            <w:pPr>
              <w:widowControl w:val="0"/>
              <w:spacing w:after="0" w:line="240" w:lineRule="auto"/>
              <w:jc w:val="left"/>
              <w:rPr>
                <w:rFonts w:ascii="Roboto" w:eastAsia="Roboto" w:hAnsi="Roboto" w:cs="Roboto"/>
                <w:sz w:val="20"/>
                <w:szCs w:val="20"/>
                <w:highlight w:val="white"/>
              </w:rPr>
            </w:pPr>
            <w:r>
              <w:rPr>
                <w:rFonts w:ascii="Roboto" w:eastAsia="Roboto" w:hAnsi="Roboto" w:cs="Roboto"/>
                <w:sz w:val="20"/>
                <w:szCs w:val="20"/>
                <w:highlight w:val="white"/>
              </w:rPr>
              <w:t xml:space="preserve">indicator is to verify that the identifier used for the data is listed in a registry service like the RDA-endorsed </w:t>
            </w:r>
            <w:proofErr w:type="spellStart"/>
            <w:r>
              <w:rPr>
                <w:rFonts w:ascii="Roboto" w:eastAsia="Roboto" w:hAnsi="Roboto" w:cs="Roboto"/>
                <w:sz w:val="20"/>
                <w:szCs w:val="20"/>
                <w:highlight w:val="white"/>
              </w:rPr>
              <w:t>FAIRsharing</w:t>
            </w:r>
            <w:proofErr w:type="spellEnd"/>
            <w:r>
              <w:rPr>
                <w:rFonts w:ascii="Roboto" w:eastAsia="Roboto" w:hAnsi="Roboto" w:cs="Roboto"/>
                <w:sz w:val="20"/>
                <w:szCs w:val="20"/>
                <w:highlight w:val="white"/>
              </w:rPr>
              <w:t>.</w:t>
            </w:r>
          </w:p>
        </w:tc>
        <w:tc>
          <w:tcPr>
            <w:tcW w:w="1350" w:type="dxa"/>
            <w:shd w:val="clear" w:color="auto" w:fill="auto"/>
            <w:tcMar>
              <w:top w:w="100" w:type="dxa"/>
              <w:left w:w="100" w:type="dxa"/>
              <w:bottom w:w="100" w:type="dxa"/>
              <w:right w:w="100" w:type="dxa"/>
            </w:tcMar>
          </w:tcPr>
          <w:p w14:paraId="26A44179" w14:textId="77777777" w:rsidR="00BC388A" w:rsidRDefault="00140473">
            <w:pPr>
              <w:widowControl w:val="0"/>
              <w:pBdr>
                <w:top w:val="nil"/>
                <w:left w:val="nil"/>
                <w:bottom w:val="nil"/>
                <w:right w:val="nil"/>
                <w:between w:val="nil"/>
              </w:pBdr>
              <w:spacing w:after="0" w:line="240" w:lineRule="auto"/>
              <w:jc w:val="left"/>
              <w:rPr>
                <w:b/>
              </w:rPr>
            </w:pPr>
            <w:r>
              <w:rPr>
                <w:b/>
                <w:color w:val="FF0000"/>
              </w:rPr>
              <w:t>Essential</w:t>
            </w:r>
          </w:p>
        </w:tc>
        <w:tc>
          <w:tcPr>
            <w:tcW w:w="900" w:type="dxa"/>
            <w:shd w:val="clear" w:color="auto" w:fill="auto"/>
            <w:tcMar>
              <w:top w:w="100" w:type="dxa"/>
              <w:left w:w="100" w:type="dxa"/>
              <w:bottom w:w="100" w:type="dxa"/>
              <w:right w:w="100" w:type="dxa"/>
            </w:tcMar>
          </w:tcPr>
          <w:p w14:paraId="06708FA9" w14:textId="77777777" w:rsidR="00BC388A" w:rsidRDefault="00140473">
            <w:pPr>
              <w:widowControl w:val="0"/>
              <w:pBdr>
                <w:top w:val="nil"/>
                <w:left w:val="nil"/>
                <w:bottom w:val="nil"/>
                <w:right w:val="nil"/>
                <w:between w:val="nil"/>
              </w:pBdr>
              <w:spacing w:after="0" w:line="240" w:lineRule="auto"/>
              <w:jc w:val="left"/>
            </w:pPr>
            <w:r>
              <w:t>TRUE/FALSE</w:t>
            </w:r>
          </w:p>
        </w:tc>
      </w:tr>
      <w:tr w:rsidR="00BC388A" w14:paraId="3FAF2820" w14:textId="77777777">
        <w:tc>
          <w:tcPr>
            <w:tcW w:w="6810" w:type="dxa"/>
            <w:shd w:val="clear" w:color="auto" w:fill="auto"/>
            <w:tcMar>
              <w:top w:w="100" w:type="dxa"/>
              <w:left w:w="100" w:type="dxa"/>
              <w:bottom w:w="100" w:type="dxa"/>
              <w:right w:w="100" w:type="dxa"/>
            </w:tcMar>
          </w:tcPr>
          <w:p w14:paraId="73B0AA62" w14:textId="77777777" w:rsidR="00BC388A" w:rsidRDefault="00140473">
            <w:pPr>
              <w:widowControl w:val="0"/>
              <w:spacing w:after="0" w:line="240" w:lineRule="auto"/>
              <w:jc w:val="left"/>
            </w:pPr>
            <w:r>
              <w:rPr>
                <w:b/>
                <w:color w:val="FF0000"/>
              </w:rPr>
              <w:t>RDA-F1-02M</w:t>
            </w:r>
            <w:r>
              <w:t xml:space="preserve"> Metadata is identified by a globally unique identifier.</w:t>
            </w:r>
          </w:p>
          <w:p w14:paraId="5B855ED8"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3"/>
                <w:id w:val="1061597859"/>
              </w:sdtPr>
              <w:sdtEndPr/>
              <w:sdtContent>
                <w:r w:rsidR="00140473">
                  <w:rPr>
                    <w:rFonts w:ascii="Arial Unicode MS" w:eastAsia="Arial Unicode MS" w:hAnsi="Arial Unicode MS" w:cs="Arial Unicode MS"/>
                    <w:sz w:val="20"/>
                    <w:szCs w:val="20"/>
                    <w:highlight w:val="white"/>
                  </w:rPr>
                  <w:t>● Principle: F1 (meta)data are assigned a globally unique and eternally persistent identifier.</w:t>
                </w:r>
                <w:r w:rsidR="00140473">
                  <w:rPr>
                    <w:rFonts w:ascii="Arial Unicode MS" w:eastAsia="Arial Unicode MS" w:hAnsi="Arial Unicode MS" w:cs="Arial Unicode MS"/>
                    <w:sz w:val="20"/>
                    <w:szCs w:val="20"/>
                    <w:highlight w:val="white"/>
                  </w:rPr>
                  <w:br/>
                  <w:t>● Description: The indicator serves to evaluate whether the identifier of the metadata is globally unique, i.e. that there are no two identical identifiers that identify different metadata records.</w:t>
                </w:r>
              </w:sdtContent>
            </w:sdt>
          </w:p>
          <w:p w14:paraId="26947E61"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4"/>
                <w:id w:val="-2012218342"/>
              </w:sdtPr>
              <w:sdtEndPr/>
              <w:sdtContent>
                <w:r w:rsidR="00140473">
                  <w:rPr>
                    <w:rFonts w:ascii="Arial Unicode MS" w:eastAsia="Arial Unicode MS" w:hAnsi="Arial Unicode MS" w:cs="Arial Unicode MS"/>
                    <w:sz w:val="20"/>
                    <w:szCs w:val="20"/>
                    <w:highlight w:val="white"/>
                  </w:rPr>
                  <w:t xml:space="preserve">● Assessment details: Global uniqueness of identifiers should be evaluated based on a description of how identifiers are assigned. Such a description should make it clear that the mechanism for assigning identifiers cannot possibly assign the same identifier to </w:t>
                </w:r>
                <w:proofErr w:type="spellStart"/>
                <w:r w:rsidR="00140473">
                  <w:rPr>
                    <w:rFonts w:ascii="Arial Unicode MS" w:eastAsia="Arial Unicode MS" w:hAnsi="Arial Unicode MS" w:cs="Arial Unicode MS"/>
                    <w:sz w:val="20"/>
                    <w:szCs w:val="20"/>
                    <w:highlight w:val="white"/>
                  </w:rPr>
                  <w:t>dif</w:t>
                </w:r>
                <w:proofErr w:type="spellEnd"/>
                <w:r w:rsidR="00140473">
                  <w:rPr>
                    <w:rFonts w:ascii="Arial Unicode MS" w:eastAsia="Arial Unicode MS" w:hAnsi="Arial Unicode MS" w:cs="Arial Unicode MS"/>
                    <w:sz w:val="20"/>
                    <w:szCs w:val="20"/>
                    <w:highlight w:val="white"/>
                  </w:rPr>
                  <w:t xml:space="preserve"> </w:t>
                </w:r>
                <w:proofErr w:type="spellStart"/>
                <w:r w:rsidR="00140473">
                  <w:rPr>
                    <w:rFonts w:ascii="Arial Unicode MS" w:eastAsia="Arial Unicode MS" w:hAnsi="Arial Unicode MS" w:cs="Arial Unicode MS"/>
                    <w:sz w:val="20"/>
                    <w:szCs w:val="20"/>
                    <w:highlight w:val="white"/>
                  </w:rPr>
                  <w:t>ferent</w:t>
                </w:r>
                <w:proofErr w:type="spellEnd"/>
                <w:r w:rsidR="00140473">
                  <w:rPr>
                    <w:rFonts w:ascii="Arial Unicode MS" w:eastAsia="Arial Unicode MS" w:hAnsi="Arial Unicode MS" w:cs="Arial Unicode MS"/>
                    <w:sz w:val="20"/>
                    <w:szCs w:val="20"/>
                    <w:highlight w:val="white"/>
                  </w:rPr>
                  <w:t xml:space="preserve"> resources, or assign an identifier that has already been assigned via </w:t>
                </w:r>
                <w:r w:rsidR="00140473">
                  <w:rPr>
                    <w:rFonts w:ascii="Arial Unicode MS" w:eastAsia="Arial Unicode MS" w:hAnsi="Arial Unicode MS" w:cs="Arial Unicode MS"/>
                    <w:sz w:val="20"/>
                    <w:szCs w:val="20"/>
                    <w:highlight w:val="white"/>
                  </w:rPr>
                  <w:lastRenderedPageBreak/>
                  <w:t xml:space="preserve">some other </w:t>
                </w:r>
              </w:sdtContent>
            </w:sdt>
          </w:p>
          <w:p w14:paraId="29C11705" w14:textId="77777777" w:rsidR="00BC388A" w:rsidRDefault="00140473">
            <w:pPr>
              <w:widowControl w:val="0"/>
              <w:spacing w:after="0" w:line="240" w:lineRule="auto"/>
              <w:jc w:val="left"/>
              <w:rPr>
                <w:rFonts w:ascii="Roboto" w:eastAsia="Roboto" w:hAnsi="Roboto" w:cs="Roboto"/>
                <w:sz w:val="20"/>
                <w:szCs w:val="20"/>
                <w:highlight w:val="white"/>
              </w:rPr>
            </w:pPr>
            <w:r>
              <w:rPr>
                <w:rFonts w:ascii="Roboto" w:eastAsia="Roboto" w:hAnsi="Roboto" w:cs="Roboto"/>
                <w:sz w:val="20"/>
                <w:szCs w:val="20"/>
                <w:highlight w:val="white"/>
              </w:rPr>
              <w:t xml:space="preserve">mechanism/organisation. A possible way to evaluate this indicator is to verify that the identifier used for the data is listed in a registry service like the RDA-endorsed </w:t>
            </w:r>
            <w:proofErr w:type="spellStart"/>
            <w:r>
              <w:rPr>
                <w:rFonts w:ascii="Roboto" w:eastAsia="Roboto" w:hAnsi="Roboto" w:cs="Roboto"/>
                <w:sz w:val="20"/>
                <w:szCs w:val="20"/>
                <w:highlight w:val="white"/>
              </w:rPr>
              <w:t>FAIRsharing</w:t>
            </w:r>
            <w:proofErr w:type="spellEnd"/>
            <w:r>
              <w:rPr>
                <w:rFonts w:ascii="Roboto" w:eastAsia="Roboto" w:hAnsi="Roboto" w:cs="Roboto"/>
                <w:sz w:val="20"/>
                <w:szCs w:val="20"/>
                <w:highlight w:val="white"/>
              </w:rPr>
              <w:t>.</w:t>
            </w:r>
          </w:p>
        </w:tc>
        <w:tc>
          <w:tcPr>
            <w:tcW w:w="1350" w:type="dxa"/>
            <w:shd w:val="clear" w:color="auto" w:fill="auto"/>
            <w:tcMar>
              <w:top w:w="100" w:type="dxa"/>
              <w:left w:w="100" w:type="dxa"/>
              <w:bottom w:w="100" w:type="dxa"/>
              <w:right w:w="100" w:type="dxa"/>
            </w:tcMar>
          </w:tcPr>
          <w:p w14:paraId="6F9CF51A" w14:textId="77777777" w:rsidR="00BC388A" w:rsidRDefault="00140473">
            <w:pPr>
              <w:widowControl w:val="0"/>
              <w:pBdr>
                <w:top w:val="nil"/>
                <w:left w:val="nil"/>
                <w:bottom w:val="nil"/>
                <w:right w:val="nil"/>
                <w:between w:val="nil"/>
              </w:pBdr>
              <w:spacing w:after="0" w:line="240" w:lineRule="auto"/>
              <w:jc w:val="left"/>
              <w:rPr>
                <w:b/>
              </w:rPr>
            </w:pPr>
            <w:r>
              <w:rPr>
                <w:b/>
                <w:color w:val="FF0000"/>
              </w:rPr>
              <w:lastRenderedPageBreak/>
              <w:t>Essential</w:t>
            </w:r>
          </w:p>
        </w:tc>
        <w:tc>
          <w:tcPr>
            <w:tcW w:w="900" w:type="dxa"/>
            <w:shd w:val="clear" w:color="auto" w:fill="auto"/>
            <w:tcMar>
              <w:top w:w="100" w:type="dxa"/>
              <w:left w:w="100" w:type="dxa"/>
              <w:bottom w:w="100" w:type="dxa"/>
              <w:right w:w="100" w:type="dxa"/>
            </w:tcMar>
          </w:tcPr>
          <w:p w14:paraId="7373E1ED" w14:textId="77777777" w:rsidR="00BC388A" w:rsidRDefault="00140473">
            <w:pPr>
              <w:widowControl w:val="0"/>
              <w:pBdr>
                <w:top w:val="nil"/>
                <w:left w:val="nil"/>
                <w:bottom w:val="nil"/>
                <w:right w:val="nil"/>
                <w:between w:val="nil"/>
              </w:pBdr>
              <w:spacing w:after="0" w:line="240" w:lineRule="auto"/>
              <w:jc w:val="left"/>
            </w:pPr>
            <w:r>
              <w:t>TRUE/FALSE</w:t>
            </w:r>
          </w:p>
        </w:tc>
      </w:tr>
      <w:tr w:rsidR="00BC388A" w14:paraId="4F2A07D9" w14:textId="77777777">
        <w:tc>
          <w:tcPr>
            <w:tcW w:w="6810" w:type="dxa"/>
            <w:shd w:val="clear" w:color="auto" w:fill="auto"/>
            <w:tcMar>
              <w:top w:w="100" w:type="dxa"/>
              <w:left w:w="100" w:type="dxa"/>
              <w:bottom w:w="100" w:type="dxa"/>
              <w:right w:w="100" w:type="dxa"/>
            </w:tcMar>
          </w:tcPr>
          <w:p w14:paraId="3DA3242C" w14:textId="77777777" w:rsidR="00BC388A" w:rsidRDefault="00140473">
            <w:pPr>
              <w:widowControl w:val="0"/>
              <w:pBdr>
                <w:top w:val="nil"/>
                <w:left w:val="nil"/>
                <w:bottom w:val="nil"/>
                <w:right w:val="nil"/>
                <w:between w:val="nil"/>
              </w:pBdr>
              <w:spacing w:after="0" w:line="240" w:lineRule="auto"/>
              <w:jc w:val="left"/>
            </w:pPr>
            <w:r>
              <w:rPr>
                <w:b/>
                <w:color w:val="FF0000"/>
              </w:rPr>
              <w:t>RDA-F1-02D</w:t>
            </w:r>
            <w:r>
              <w:t xml:space="preserve"> Data is identified by a globally unique identifier.</w:t>
            </w:r>
          </w:p>
          <w:p w14:paraId="36AF8FF1" w14:textId="77777777" w:rsidR="00BC388A" w:rsidRDefault="00737C5A">
            <w:pPr>
              <w:widowControl w:val="0"/>
              <w:pBdr>
                <w:top w:val="nil"/>
                <w:left w:val="nil"/>
                <w:bottom w:val="nil"/>
                <w:right w:val="nil"/>
                <w:between w:val="nil"/>
              </w:pBdr>
              <w:spacing w:after="0" w:line="240" w:lineRule="auto"/>
              <w:jc w:val="left"/>
              <w:rPr>
                <w:rFonts w:ascii="Roboto" w:eastAsia="Roboto" w:hAnsi="Roboto" w:cs="Roboto"/>
                <w:sz w:val="20"/>
                <w:szCs w:val="20"/>
                <w:highlight w:val="white"/>
              </w:rPr>
            </w:pPr>
            <w:sdt>
              <w:sdtPr>
                <w:tag w:val="goog_rdk_5"/>
                <w:id w:val="-625776688"/>
              </w:sdtPr>
              <w:sdtEndPr/>
              <w:sdtContent>
                <w:r w:rsidR="00140473">
                  <w:rPr>
                    <w:rFonts w:ascii="Arial Unicode MS" w:eastAsia="Arial Unicode MS" w:hAnsi="Arial Unicode MS" w:cs="Arial Unicode MS"/>
                    <w:sz w:val="20"/>
                    <w:szCs w:val="20"/>
                    <w:highlight w:val="white"/>
                  </w:rPr>
                  <w:t>● Principle: F1 (meta)data are assigned a globally unique and eternally persistent identifier.</w:t>
                </w:r>
              </w:sdtContent>
            </w:sdt>
          </w:p>
          <w:p w14:paraId="0831CFDE" w14:textId="77777777" w:rsidR="00BC388A" w:rsidRDefault="00737C5A">
            <w:pPr>
              <w:widowControl w:val="0"/>
              <w:pBdr>
                <w:top w:val="nil"/>
                <w:left w:val="nil"/>
                <w:bottom w:val="nil"/>
                <w:right w:val="nil"/>
                <w:between w:val="nil"/>
              </w:pBdr>
              <w:spacing w:after="0" w:line="240" w:lineRule="auto"/>
              <w:jc w:val="left"/>
              <w:rPr>
                <w:rFonts w:ascii="Roboto" w:eastAsia="Roboto" w:hAnsi="Roboto" w:cs="Roboto"/>
                <w:sz w:val="20"/>
                <w:szCs w:val="20"/>
                <w:highlight w:val="white"/>
              </w:rPr>
            </w:pPr>
            <w:sdt>
              <w:sdtPr>
                <w:tag w:val="goog_rdk_6"/>
                <w:id w:val="-341782684"/>
              </w:sdtPr>
              <w:sdtEndPr/>
              <w:sdtContent>
                <w:r w:rsidR="00140473">
                  <w:rPr>
                    <w:rFonts w:ascii="Arial Unicode MS" w:eastAsia="Arial Unicode MS" w:hAnsi="Arial Unicode MS" w:cs="Arial Unicode MS"/>
                    <w:sz w:val="20"/>
                    <w:szCs w:val="20"/>
                    <w:highlight w:val="white"/>
                  </w:rPr>
                  <w:t>● Description: The indicator serves to evaluate whether the identifier of the data is globally unique, i.e. that there are no two people that would use that same identifier for two different digital objects.</w:t>
                </w:r>
                <w:r w:rsidR="00140473">
                  <w:rPr>
                    <w:rFonts w:ascii="Arial Unicode MS" w:eastAsia="Arial Unicode MS" w:hAnsi="Arial Unicode MS" w:cs="Arial Unicode MS"/>
                    <w:sz w:val="20"/>
                    <w:szCs w:val="20"/>
                    <w:highlight w:val="white"/>
                  </w:rPr>
                  <w:br/>
                  <w:t xml:space="preserve">● Assessment details: Global uniqueness of identifiers should be evaluated based on a description of how identifiers are assigned. Such a description should make it clear that the mechanism for assigning identifiers cannot possibly assign the same identifier to different resources or assign an identifier that has already been assigned via some other mechanism/organisation. A possible way to evaluate this indicator is to verify that the identifier used for the data is listed in a registry service like the RDA-endorsed </w:t>
                </w:r>
                <w:proofErr w:type="spellStart"/>
                <w:r w:rsidR="00140473">
                  <w:rPr>
                    <w:rFonts w:ascii="Arial Unicode MS" w:eastAsia="Arial Unicode MS" w:hAnsi="Arial Unicode MS" w:cs="Arial Unicode MS"/>
                    <w:sz w:val="20"/>
                    <w:szCs w:val="20"/>
                    <w:highlight w:val="white"/>
                  </w:rPr>
                  <w:t>FAIRsharing</w:t>
                </w:r>
                <w:proofErr w:type="spellEnd"/>
                <w:r w:rsidR="00140473">
                  <w:rPr>
                    <w:rFonts w:ascii="Arial Unicode MS" w:eastAsia="Arial Unicode MS" w:hAnsi="Arial Unicode MS" w:cs="Arial Unicode MS"/>
                    <w:sz w:val="20"/>
                    <w:szCs w:val="20"/>
                    <w:highlight w:val="white"/>
                  </w:rPr>
                  <w:t>.</w:t>
                </w:r>
              </w:sdtContent>
            </w:sdt>
          </w:p>
        </w:tc>
        <w:tc>
          <w:tcPr>
            <w:tcW w:w="1350" w:type="dxa"/>
            <w:shd w:val="clear" w:color="auto" w:fill="auto"/>
            <w:tcMar>
              <w:top w:w="100" w:type="dxa"/>
              <w:left w:w="100" w:type="dxa"/>
              <w:bottom w:w="100" w:type="dxa"/>
              <w:right w:w="100" w:type="dxa"/>
            </w:tcMar>
          </w:tcPr>
          <w:p w14:paraId="7A003DC7" w14:textId="77777777" w:rsidR="00BC388A" w:rsidRDefault="00140473">
            <w:pPr>
              <w:widowControl w:val="0"/>
              <w:pBdr>
                <w:top w:val="nil"/>
                <w:left w:val="nil"/>
                <w:bottom w:val="nil"/>
                <w:right w:val="nil"/>
                <w:between w:val="nil"/>
              </w:pBdr>
              <w:spacing w:after="0" w:line="240" w:lineRule="auto"/>
              <w:jc w:val="left"/>
              <w:rPr>
                <w:b/>
              </w:rPr>
            </w:pPr>
            <w:r>
              <w:rPr>
                <w:b/>
                <w:color w:val="FF0000"/>
              </w:rPr>
              <w:t>Essential</w:t>
            </w:r>
          </w:p>
        </w:tc>
        <w:tc>
          <w:tcPr>
            <w:tcW w:w="900" w:type="dxa"/>
            <w:shd w:val="clear" w:color="auto" w:fill="auto"/>
            <w:tcMar>
              <w:top w:w="100" w:type="dxa"/>
              <w:left w:w="100" w:type="dxa"/>
              <w:bottom w:w="100" w:type="dxa"/>
              <w:right w:w="100" w:type="dxa"/>
            </w:tcMar>
          </w:tcPr>
          <w:p w14:paraId="764EFC17" w14:textId="77777777" w:rsidR="00BC388A" w:rsidRDefault="00140473">
            <w:pPr>
              <w:widowControl w:val="0"/>
              <w:pBdr>
                <w:top w:val="nil"/>
                <w:left w:val="nil"/>
                <w:bottom w:val="nil"/>
                <w:right w:val="nil"/>
                <w:between w:val="nil"/>
              </w:pBdr>
              <w:spacing w:after="0" w:line="240" w:lineRule="auto"/>
              <w:jc w:val="left"/>
            </w:pPr>
            <w:r>
              <w:t>TRUE/FALSE</w:t>
            </w:r>
          </w:p>
        </w:tc>
      </w:tr>
      <w:tr w:rsidR="00BC388A" w14:paraId="207F6A46" w14:textId="77777777">
        <w:tc>
          <w:tcPr>
            <w:tcW w:w="6810" w:type="dxa"/>
            <w:shd w:val="clear" w:color="auto" w:fill="auto"/>
            <w:tcMar>
              <w:top w:w="100" w:type="dxa"/>
              <w:left w:w="100" w:type="dxa"/>
              <w:bottom w:w="100" w:type="dxa"/>
              <w:right w:w="100" w:type="dxa"/>
            </w:tcMar>
          </w:tcPr>
          <w:p w14:paraId="1A7BF5AA" w14:textId="77777777" w:rsidR="00BC388A" w:rsidRDefault="00140473">
            <w:pPr>
              <w:widowControl w:val="0"/>
              <w:pBdr>
                <w:top w:val="nil"/>
                <w:left w:val="nil"/>
                <w:bottom w:val="nil"/>
                <w:right w:val="nil"/>
                <w:between w:val="nil"/>
              </w:pBdr>
              <w:spacing w:after="0" w:line="240" w:lineRule="auto"/>
              <w:jc w:val="left"/>
              <w:rPr>
                <w:rFonts w:ascii="Roboto" w:eastAsia="Roboto" w:hAnsi="Roboto" w:cs="Roboto"/>
                <w:sz w:val="20"/>
                <w:szCs w:val="20"/>
                <w:highlight w:val="white"/>
              </w:rPr>
            </w:pPr>
            <w:r>
              <w:rPr>
                <w:b/>
                <w:color w:val="FF0000"/>
              </w:rPr>
              <w:t>RDA-F2-01M</w:t>
            </w:r>
            <w:r>
              <w:t xml:space="preserve"> Rich metadata is provided to allow discovery.</w:t>
            </w:r>
            <w:r>
              <w:br/>
            </w:r>
            <w:sdt>
              <w:sdtPr>
                <w:tag w:val="goog_rdk_7"/>
                <w:id w:val="-1563562106"/>
              </w:sdtPr>
              <w:sdtEndPr/>
              <w:sdtContent>
                <w:r>
                  <w:rPr>
                    <w:rFonts w:ascii="Arial Unicode MS" w:eastAsia="Arial Unicode MS" w:hAnsi="Arial Unicode MS" w:cs="Arial Unicode MS"/>
                    <w:sz w:val="20"/>
                    <w:szCs w:val="20"/>
                    <w:highlight w:val="white"/>
                  </w:rPr>
                  <w:t>● Principle: F2: Data are described with rich metadata.</w:t>
                </w:r>
              </w:sdtContent>
            </w:sdt>
          </w:p>
          <w:p w14:paraId="208C2877" w14:textId="77777777" w:rsidR="00BC388A" w:rsidRDefault="00737C5A">
            <w:pPr>
              <w:widowControl w:val="0"/>
              <w:pBdr>
                <w:top w:val="nil"/>
                <w:left w:val="nil"/>
                <w:bottom w:val="nil"/>
                <w:right w:val="nil"/>
                <w:between w:val="nil"/>
              </w:pBdr>
              <w:spacing w:after="0" w:line="240" w:lineRule="auto"/>
              <w:jc w:val="left"/>
              <w:rPr>
                <w:rFonts w:ascii="Roboto" w:eastAsia="Roboto" w:hAnsi="Roboto" w:cs="Roboto"/>
                <w:sz w:val="20"/>
                <w:szCs w:val="20"/>
                <w:highlight w:val="white"/>
              </w:rPr>
            </w:pPr>
            <w:sdt>
              <w:sdtPr>
                <w:tag w:val="goog_rdk_8"/>
                <w:id w:val="1375432546"/>
              </w:sdtPr>
              <w:sdtEndPr/>
              <w:sdtContent>
                <w:r w:rsidR="00140473">
                  <w:rPr>
                    <w:rFonts w:ascii="Arial Unicode MS" w:eastAsia="Arial Unicode MS" w:hAnsi="Arial Unicode MS" w:cs="Arial Unicode MS"/>
                    <w:sz w:val="20"/>
                    <w:szCs w:val="20"/>
                    <w:highlight w:val="white"/>
                  </w:rPr>
                  <w:t>● Description: The indicator is about the presence of metadata, but also about how much metadata is provided and how well the provided metadata supports discovery.</w:t>
                </w:r>
              </w:sdtContent>
            </w:sdt>
          </w:p>
          <w:p w14:paraId="3BF92F6D" w14:textId="77777777" w:rsidR="00BC388A" w:rsidRDefault="00737C5A">
            <w:pPr>
              <w:widowControl w:val="0"/>
              <w:pBdr>
                <w:top w:val="nil"/>
                <w:left w:val="nil"/>
                <w:bottom w:val="nil"/>
                <w:right w:val="nil"/>
                <w:between w:val="nil"/>
              </w:pBdr>
              <w:spacing w:after="0" w:line="240" w:lineRule="auto"/>
              <w:jc w:val="left"/>
              <w:rPr>
                <w:rFonts w:ascii="Roboto" w:eastAsia="Roboto" w:hAnsi="Roboto" w:cs="Roboto"/>
                <w:sz w:val="20"/>
                <w:szCs w:val="20"/>
                <w:highlight w:val="white"/>
              </w:rPr>
            </w:pPr>
            <w:sdt>
              <w:sdtPr>
                <w:tag w:val="goog_rdk_9"/>
                <w:id w:val="1679769728"/>
              </w:sdtPr>
              <w:sdtEndPr/>
              <w:sdtContent>
                <w:r w:rsidR="00140473">
                  <w:rPr>
                    <w:rFonts w:ascii="Arial Unicode MS" w:eastAsia="Arial Unicode MS" w:hAnsi="Arial Unicode MS" w:cs="Arial Unicode MS"/>
                    <w:sz w:val="20"/>
                    <w:szCs w:val="20"/>
                    <w:highlight w:val="white"/>
                  </w:rPr>
                  <w:t>● Assessment details: This indicator can be evaluated by verifying that metadata is provided. The amount of metadata to be provided may also be part of the metadata policy of the repository where the data is published.</w:t>
                </w:r>
              </w:sdtContent>
            </w:sdt>
          </w:p>
        </w:tc>
        <w:tc>
          <w:tcPr>
            <w:tcW w:w="1350" w:type="dxa"/>
            <w:shd w:val="clear" w:color="auto" w:fill="auto"/>
            <w:tcMar>
              <w:top w:w="100" w:type="dxa"/>
              <w:left w:w="100" w:type="dxa"/>
              <w:bottom w:w="100" w:type="dxa"/>
              <w:right w:w="100" w:type="dxa"/>
            </w:tcMar>
          </w:tcPr>
          <w:p w14:paraId="619D4C67" w14:textId="77777777" w:rsidR="00BC388A" w:rsidRDefault="00140473">
            <w:pPr>
              <w:widowControl w:val="0"/>
              <w:pBdr>
                <w:top w:val="nil"/>
                <w:left w:val="nil"/>
                <w:bottom w:val="nil"/>
                <w:right w:val="nil"/>
                <w:between w:val="nil"/>
              </w:pBdr>
              <w:spacing w:after="0" w:line="240" w:lineRule="auto"/>
              <w:jc w:val="left"/>
              <w:rPr>
                <w:b/>
              </w:rPr>
            </w:pPr>
            <w:r>
              <w:rPr>
                <w:b/>
                <w:color w:val="FF0000"/>
              </w:rPr>
              <w:t>Essential</w:t>
            </w:r>
          </w:p>
        </w:tc>
        <w:tc>
          <w:tcPr>
            <w:tcW w:w="900" w:type="dxa"/>
            <w:shd w:val="clear" w:color="auto" w:fill="auto"/>
            <w:tcMar>
              <w:top w:w="100" w:type="dxa"/>
              <w:left w:w="100" w:type="dxa"/>
              <w:bottom w:w="100" w:type="dxa"/>
              <w:right w:w="100" w:type="dxa"/>
            </w:tcMar>
          </w:tcPr>
          <w:p w14:paraId="6A88E328" w14:textId="77777777" w:rsidR="00BC388A" w:rsidRDefault="00140473">
            <w:pPr>
              <w:widowControl w:val="0"/>
              <w:pBdr>
                <w:top w:val="nil"/>
                <w:left w:val="nil"/>
                <w:bottom w:val="nil"/>
                <w:right w:val="nil"/>
                <w:between w:val="nil"/>
              </w:pBdr>
              <w:spacing w:after="0" w:line="240" w:lineRule="auto"/>
              <w:jc w:val="left"/>
            </w:pPr>
            <w:r>
              <w:t>TRUE/FALSE</w:t>
            </w:r>
          </w:p>
        </w:tc>
      </w:tr>
      <w:tr w:rsidR="00BC388A" w14:paraId="0A7C0785" w14:textId="77777777">
        <w:tc>
          <w:tcPr>
            <w:tcW w:w="6810" w:type="dxa"/>
            <w:shd w:val="clear" w:color="auto" w:fill="auto"/>
            <w:tcMar>
              <w:top w:w="100" w:type="dxa"/>
              <w:left w:w="100" w:type="dxa"/>
              <w:bottom w:w="100" w:type="dxa"/>
              <w:right w:w="100" w:type="dxa"/>
            </w:tcMar>
          </w:tcPr>
          <w:p w14:paraId="531CB2C1" w14:textId="77777777" w:rsidR="00BC388A" w:rsidRDefault="00140473">
            <w:pPr>
              <w:widowControl w:val="0"/>
              <w:pBdr>
                <w:top w:val="nil"/>
                <w:left w:val="nil"/>
                <w:bottom w:val="nil"/>
                <w:right w:val="nil"/>
                <w:between w:val="nil"/>
              </w:pBdr>
              <w:spacing w:after="0" w:line="240" w:lineRule="auto"/>
              <w:jc w:val="left"/>
            </w:pPr>
            <w:r>
              <w:rPr>
                <w:b/>
                <w:color w:val="FF0000"/>
              </w:rPr>
              <w:t>RDA-F3-01M</w:t>
            </w:r>
            <w:r>
              <w:t xml:space="preserve"> Metadata includes the identifier for the data.</w:t>
            </w:r>
          </w:p>
          <w:p w14:paraId="0F028037" w14:textId="77777777" w:rsidR="00BC388A" w:rsidRDefault="00737C5A">
            <w:pPr>
              <w:widowControl w:val="0"/>
              <w:pBdr>
                <w:top w:val="nil"/>
                <w:left w:val="nil"/>
                <w:bottom w:val="nil"/>
                <w:right w:val="nil"/>
                <w:between w:val="nil"/>
              </w:pBdr>
              <w:spacing w:after="0" w:line="240" w:lineRule="auto"/>
              <w:jc w:val="left"/>
            </w:pPr>
            <w:sdt>
              <w:sdtPr>
                <w:tag w:val="goog_rdk_10"/>
                <w:id w:val="-1039972338"/>
              </w:sdtPr>
              <w:sdtEndPr/>
              <w:sdtContent>
                <w:r w:rsidR="00140473">
                  <w:rPr>
                    <w:rFonts w:ascii="Arial Unicode MS" w:eastAsia="Arial Unicode MS" w:hAnsi="Arial Unicode MS" w:cs="Arial Unicode MS"/>
                    <w:sz w:val="20"/>
                    <w:szCs w:val="20"/>
                    <w:highlight w:val="white"/>
                  </w:rPr>
                  <w:t>● Principle: F3: Metadata clearly and explicitly include the identifier of the data they describe.</w:t>
                </w:r>
                <w:r w:rsidR="00140473">
                  <w:rPr>
                    <w:rFonts w:ascii="Arial Unicode MS" w:eastAsia="Arial Unicode MS" w:hAnsi="Arial Unicode MS" w:cs="Arial Unicode MS"/>
                    <w:sz w:val="20"/>
                    <w:szCs w:val="20"/>
                    <w:highlight w:val="white"/>
                  </w:rPr>
                  <w:br/>
                  <w:t>● Description: The indicator deals with the inclusion of the reference (i.e. the identifier) of the digital object in the metadata so that the digital object can be accessed.</w:t>
                </w:r>
                <w:r w:rsidR="00140473">
                  <w:rPr>
                    <w:rFonts w:ascii="Arial Unicode MS" w:eastAsia="Arial Unicode MS" w:hAnsi="Arial Unicode MS" w:cs="Arial Unicode MS"/>
                    <w:sz w:val="20"/>
                    <w:szCs w:val="20"/>
                    <w:highlight w:val="white"/>
                  </w:rPr>
                  <w:br/>
                  <w:t>● Assessment details: This indicator can be evaluated by verifying that the identifier of the data is included in the metadata element that is specified for that purpose in the metadata standard used, for example in an "about" or "describes" predicate, or a Link Relation 16 such as "describes"/"</w:t>
                </w:r>
                <w:proofErr w:type="spellStart"/>
                <w:r w:rsidR="00140473">
                  <w:rPr>
                    <w:rFonts w:ascii="Arial Unicode MS" w:eastAsia="Arial Unicode MS" w:hAnsi="Arial Unicode MS" w:cs="Arial Unicode MS"/>
                    <w:sz w:val="20"/>
                    <w:szCs w:val="20"/>
                    <w:highlight w:val="white"/>
                  </w:rPr>
                  <w:t>describedBy</w:t>
                </w:r>
                <w:proofErr w:type="spellEnd"/>
                <w:r w:rsidR="00140473">
                  <w:rPr>
                    <w:rFonts w:ascii="Arial Unicode MS" w:eastAsia="Arial Unicode MS" w:hAnsi="Arial Unicode MS" w:cs="Arial Unicode MS"/>
                    <w:sz w:val="20"/>
                    <w:szCs w:val="20"/>
                    <w:highlight w:val="white"/>
                  </w:rPr>
                  <w:t>".</w:t>
                </w:r>
              </w:sdtContent>
            </w:sdt>
          </w:p>
        </w:tc>
        <w:tc>
          <w:tcPr>
            <w:tcW w:w="1350" w:type="dxa"/>
            <w:shd w:val="clear" w:color="auto" w:fill="auto"/>
            <w:tcMar>
              <w:top w:w="100" w:type="dxa"/>
              <w:left w:w="100" w:type="dxa"/>
              <w:bottom w:w="100" w:type="dxa"/>
              <w:right w:w="100" w:type="dxa"/>
            </w:tcMar>
          </w:tcPr>
          <w:p w14:paraId="6DFD793F" w14:textId="77777777" w:rsidR="00BC388A" w:rsidRDefault="00140473">
            <w:pPr>
              <w:widowControl w:val="0"/>
              <w:pBdr>
                <w:top w:val="nil"/>
                <w:left w:val="nil"/>
                <w:bottom w:val="nil"/>
                <w:right w:val="nil"/>
                <w:between w:val="nil"/>
              </w:pBdr>
              <w:spacing w:after="0" w:line="240" w:lineRule="auto"/>
              <w:jc w:val="left"/>
              <w:rPr>
                <w:b/>
              </w:rPr>
            </w:pPr>
            <w:r>
              <w:rPr>
                <w:b/>
                <w:color w:val="FF0000"/>
              </w:rPr>
              <w:t>Essential</w:t>
            </w:r>
          </w:p>
        </w:tc>
        <w:tc>
          <w:tcPr>
            <w:tcW w:w="900" w:type="dxa"/>
            <w:shd w:val="clear" w:color="auto" w:fill="auto"/>
            <w:tcMar>
              <w:top w:w="100" w:type="dxa"/>
              <w:left w:w="100" w:type="dxa"/>
              <w:bottom w:w="100" w:type="dxa"/>
              <w:right w:w="100" w:type="dxa"/>
            </w:tcMar>
          </w:tcPr>
          <w:p w14:paraId="302159BA" w14:textId="77777777" w:rsidR="00BC388A" w:rsidRDefault="00140473">
            <w:pPr>
              <w:widowControl w:val="0"/>
              <w:pBdr>
                <w:top w:val="nil"/>
                <w:left w:val="nil"/>
                <w:bottom w:val="nil"/>
                <w:right w:val="nil"/>
                <w:between w:val="nil"/>
              </w:pBdr>
              <w:spacing w:after="0" w:line="240" w:lineRule="auto"/>
              <w:jc w:val="left"/>
            </w:pPr>
            <w:r>
              <w:t>TRUE/FALSE</w:t>
            </w:r>
          </w:p>
        </w:tc>
      </w:tr>
      <w:tr w:rsidR="00BC388A" w14:paraId="0A6D9E19" w14:textId="77777777">
        <w:tc>
          <w:tcPr>
            <w:tcW w:w="6810" w:type="dxa"/>
            <w:shd w:val="clear" w:color="auto" w:fill="auto"/>
            <w:tcMar>
              <w:top w:w="100" w:type="dxa"/>
              <w:left w:w="100" w:type="dxa"/>
              <w:bottom w:w="100" w:type="dxa"/>
              <w:right w:w="100" w:type="dxa"/>
            </w:tcMar>
          </w:tcPr>
          <w:p w14:paraId="53392FB7" w14:textId="77777777" w:rsidR="00BC388A" w:rsidRDefault="00140473">
            <w:pPr>
              <w:widowControl w:val="0"/>
              <w:pBdr>
                <w:top w:val="nil"/>
                <w:left w:val="nil"/>
                <w:bottom w:val="nil"/>
                <w:right w:val="nil"/>
                <w:between w:val="nil"/>
              </w:pBdr>
              <w:spacing w:after="0" w:line="240" w:lineRule="auto"/>
              <w:jc w:val="left"/>
            </w:pPr>
            <w:r>
              <w:rPr>
                <w:b/>
                <w:color w:val="FF0000"/>
              </w:rPr>
              <w:t>RDA-F4-01M</w:t>
            </w:r>
            <w:r>
              <w:t xml:space="preserve"> Metadata is offered in such a way that it can be harvested and indexed.</w:t>
            </w:r>
          </w:p>
          <w:p w14:paraId="53E85460" w14:textId="77777777" w:rsidR="00BC388A" w:rsidRDefault="00737C5A">
            <w:pPr>
              <w:widowControl w:val="0"/>
              <w:pBdr>
                <w:top w:val="nil"/>
                <w:left w:val="nil"/>
                <w:bottom w:val="nil"/>
                <w:right w:val="nil"/>
                <w:between w:val="nil"/>
              </w:pBdr>
              <w:spacing w:after="0" w:line="240" w:lineRule="auto"/>
              <w:jc w:val="left"/>
              <w:rPr>
                <w:rFonts w:ascii="Roboto" w:eastAsia="Roboto" w:hAnsi="Roboto" w:cs="Roboto"/>
                <w:sz w:val="20"/>
                <w:szCs w:val="20"/>
                <w:highlight w:val="white"/>
              </w:rPr>
            </w:pPr>
            <w:sdt>
              <w:sdtPr>
                <w:tag w:val="goog_rdk_11"/>
                <w:id w:val="-1781486078"/>
              </w:sdtPr>
              <w:sdtEndPr/>
              <w:sdtContent>
                <w:r w:rsidR="00140473">
                  <w:rPr>
                    <w:rFonts w:ascii="Arial Unicode MS" w:eastAsia="Arial Unicode MS" w:hAnsi="Arial Unicode MS" w:cs="Arial Unicode MS"/>
                    <w:sz w:val="20"/>
                    <w:szCs w:val="20"/>
                    <w:highlight w:val="white"/>
                  </w:rPr>
                  <w:t>● Principle: F4: (Meta)data are registered or indexed in a searchable resource.</w:t>
                </w:r>
                <w:r w:rsidR="00140473">
                  <w:rPr>
                    <w:rFonts w:ascii="Arial Unicode MS" w:eastAsia="Arial Unicode MS" w:hAnsi="Arial Unicode MS" w:cs="Arial Unicode MS"/>
                    <w:sz w:val="20"/>
                    <w:szCs w:val="20"/>
                    <w:highlight w:val="white"/>
                  </w:rPr>
                  <w:br/>
                  <w:t xml:space="preserve">● Description: The indicator tests whether the metadata is offered in such a way that it can be indexed. In some cases, metadata could be provided together with the data to a </w:t>
                </w:r>
              </w:sdtContent>
            </w:sdt>
          </w:p>
          <w:p w14:paraId="12F9B900" w14:textId="77777777" w:rsidR="00BC388A" w:rsidRDefault="00140473">
            <w:pPr>
              <w:widowControl w:val="0"/>
              <w:pBdr>
                <w:top w:val="nil"/>
                <w:left w:val="nil"/>
                <w:bottom w:val="nil"/>
                <w:right w:val="nil"/>
                <w:between w:val="nil"/>
              </w:pBdr>
              <w:spacing w:after="0" w:line="240" w:lineRule="auto"/>
              <w:jc w:val="left"/>
              <w:rPr>
                <w:rFonts w:ascii="Roboto" w:eastAsia="Roboto" w:hAnsi="Roboto" w:cs="Roboto"/>
                <w:sz w:val="20"/>
                <w:szCs w:val="20"/>
                <w:highlight w:val="white"/>
              </w:rPr>
            </w:pPr>
            <w:r>
              <w:rPr>
                <w:rFonts w:ascii="Roboto" w:eastAsia="Roboto" w:hAnsi="Roboto" w:cs="Roboto"/>
                <w:sz w:val="20"/>
                <w:szCs w:val="20"/>
                <w:highlight w:val="white"/>
              </w:rPr>
              <w:t xml:space="preserve">local institutional repository or to a domain-specific or regional portal, or metadata could be included in a landing page where it can be harvested by a search engine. The </w:t>
            </w:r>
          </w:p>
          <w:p w14:paraId="113AEB7A" w14:textId="77777777" w:rsidR="00BC388A" w:rsidRDefault="00737C5A">
            <w:pPr>
              <w:widowControl w:val="0"/>
              <w:pBdr>
                <w:top w:val="nil"/>
                <w:left w:val="nil"/>
                <w:bottom w:val="nil"/>
                <w:right w:val="nil"/>
                <w:between w:val="nil"/>
              </w:pBdr>
              <w:spacing w:after="0" w:line="240" w:lineRule="auto"/>
              <w:jc w:val="left"/>
              <w:rPr>
                <w:rFonts w:ascii="Roboto" w:eastAsia="Roboto" w:hAnsi="Roboto" w:cs="Roboto"/>
                <w:sz w:val="20"/>
                <w:szCs w:val="20"/>
                <w:highlight w:val="white"/>
              </w:rPr>
            </w:pPr>
            <w:sdt>
              <w:sdtPr>
                <w:tag w:val="goog_rdk_12"/>
                <w:id w:val="-407461967"/>
              </w:sdtPr>
              <w:sdtEndPr/>
              <w:sdtContent>
                <w:r w:rsidR="00140473">
                  <w:rPr>
                    <w:rFonts w:ascii="Arial Unicode MS" w:eastAsia="Arial Unicode MS" w:hAnsi="Arial Unicode MS" w:cs="Arial Unicode MS"/>
                    <w:sz w:val="20"/>
                    <w:szCs w:val="20"/>
                    <w:highlight w:val="white"/>
                  </w:rPr>
                  <w:t>indicator remains broad enough on purpose not to limit the way how and by whom the harvesting and indexing of the data might be done.</w:t>
                </w:r>
                <w:r w:rsidR="00140473">
                  <w:rPr>
                    <w:rFonts w:ascii="Arial Unicode MS" w:eastAsia="Arial Unicode MS" w:hAnsi="Arial Unicode MS" w:cs="Arial Unicode MS"/>
                    <w:sz w:val="20"/>
                    <w:szCs w:val="20"/>
                    <w:highlight w:val="white"/>
                  </w:rPr>
                  <w:br/>
                  <w:t xml:space="preserve">● Assessment details: This indicator can be evaluated by verifying that the metadata is made available of or indexing. This is the case when the </w:t>
                </w:r>
                <w:r w:rsidR="00140473">
                  <w:rPr>
                    <w:rFonts w:ascii="Arial Unicode MS" w:eastAsia="Arial Unicode MS" w:hAnsi="Arial Unicode MS" w:cs="Arial Unicode MS"/>
                    <w:sz w:val="20"/>
                    <w:szCs w:val="20"/>
                    <w:highlight w:val="white"/>
                  </w:rPr>
                  <w:lastRenderedPageBreak/>
                  <w:t>metadata is in fact harvested and indexed, for example in a general search engine or in a more restricted index, such as an institutional repository or a discipline-specific portal.</w:t>
                </w:r>
              </w:sdtContent>
            </w:sdt>
          </w:p>
        </w:tc>
        <w:tc>
          <w:tcPr>
            <w:tcW w:w="1350" w:type="dxa"/>
            <w:shd w:val="clear" w:color="auto" w:fill="auto"/>
            <w:tcMar>
              <w:top w:w="100" w:type="dxa"/>
              <w:left w:w="100" w:type="dxa"/>
              <w:bottom w:w="100" w:type="dxa"/>
              <w:right w:w="100" w:type="dxa"/>
            </w:tcMar>
          </w:tcPr>
          <w:p w14:paraId="1C685CD2" w14:textId="77777777" w:rsidR="00BC388A" w:rsidRDefault="00140473">
            <w:pPr>
              <w:widowControl w:val="0"/>
              <w:pBdr>
                <w:top w:val="nil"/>
                <w:left w:val="nil"/>
                <w:bottom w:val="nil"/>
                <w:right w:val="nil"/>
                <w:between w:val="nil"/>
              </w:pBdr>
              <w:spacing w:after="0" w:line="240" w:lineRule="auto"/>
              <w:jc w:val="left"/>
              <w:rPr>
                <w:b/>
              </w:rPr>
            </w:pPr>
            <w:r>
              <w:rPr>
                <w:b/>
                <w:color w:val="FF0000"/>
              </w:rPr>
              <w:lastRenderedPageBreak/>
              <w:t>Essential</w:t>
            </w:r>
          </w:p>
        </w:tc>
        <w:tc>
          <w:tcPr>
            <w:tcW w:w="900" w:type="dxa"/>
            <w:shd w:val="clear" w:color="auto" w:fill="auto"/>
            <w:tcMar>
              <w:top w:w="100" w:type="dxa"/>
              <w:left w:w="100" w:type="dxa"/>
              <w:bottom w:w="100" w:type="dxa"/>
              <w:right w:w="100" w:type="dxa"/>
            </w:tcMar>
          </w:tcPr>
          <w:p w14:paraId="6ABDB24A" w14:textId="77777777" w:rsidR="00BC388A" w:rsidRDefault="00140473">
            <w:pPr>
              <w:widowControl w:val="0"/>
              <w:pBdr>
                <w:top w:val="nil"/>
                <w:left w:val="nil"/>
                <w:bottom w:val="nil"/>
                <w:right w:val="nil"/>
                <w:between w:val="nil"/>
              </w:pBdr>
              <w:spacing w:after="0" w:line="240" w:lineRule="auto"/>
              <w:jc w:val="left"/>
            </w:pPr>
            <w:r>
              <w:t>TRUE/FALSE</w:t>
            </w:r>
          </w:p>
        </w:tc>
      </w:tr>
    </w:tbl>
    <w:p w14:paraId="2A56D710" w14:textId="77777777" w:rsidR="00BC388A" w:rsidRDefault="00BC388A"/>
    <w:p w14:paraId="60853A35" w14:textId="77777777" w:rsidR="00BC388A" w:rsidRDefault="00BC388A"/>
    <w:tbl>
      <w:tblPr>
        <w:tblStyle w:val="af5"/>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40"/>
        <w:gridCol w:w="1275"/>
        <w:gridCol w:w="915"/>
      </w:tblGrid>
      <w:tr w:rsidR="00BC388A" w14:paraId="2F003B57" w14:textId="77777777">
        <w:tc>
          <w:tcPr>
            <w:tcW w:w="6840" w:type="dxa"/>
            <w:shd w:val="clear" w:color="auto" w:fill="FF9900"/>
            <w:tcMar>
              <w:top w:w="100" w:type="dxa"/>
              <w:left w:w="100" w:type="dxa"/>
              <w:bottom w:w="100" w:type="dxa"/>
              <w:right w:w="100" w:type="dxa"/>
            </w:tcMar>
          </w:tcPr>
          <w:p w14:paraId="7216E256" w14:textId="77777777" w:rsidR="00BC388A" w:rsidRDefault="00140473">
            <w:pPr>
              <w:widowControl w:val="0"/>
              <w:spacing w:after="0" w:line="240" w:lineRule="auto"/>
              <w:jc w:val="left"/>
              <w:rPr>
                <w:b/>
              </w:rPr>
            </w:pPr>
            <w:r>
              <w:rPr>
                <w:b/>
              </w:rPr>
              <w:t>Indicators for Accessible</w:t>
            </w:r>
          </w:p>
        </w:tc>
        <w:tc>
          <w:tcPr>
            <w:tcW w:w="1275" w:type="dxa"/>
            <w:shd w:val="clear" w:color="auto" w:fill="FF9900"/>
            <w:tcMar>
              <w:top w:w="100" w:type="dxa"/>
              <w:left w:w="100" w:type="dxa"/>
              <w:bottom w:w="100" w:type="dxa"/>
              <w:right w:w="100" w:type="dxa"/>
            </w:tcMar>
          </w:tcPr>
          <w:p w14:paraId="72F5EA56" w14:textId="77777777" w:rsidR="00BC388A" w:rsidRDefault="00140473">
            <w:pPr>
              <w:widowControl w:val="0"/>
              <w:spacing w:after="0" w:line="240" w:lineRule="auto"/>
              <w:jc w:val="left"/>
              <w:rPr>
                <w:b/>
              </w:rPr>
            </w:pPr>
            <w:r>
              <w:rPr>
                <w:b/>
              </w:rPr>
              <w:t>Priority</w:t>
            </w:r>
          </w:p>
        </w:tc>
        <w:tc>
          <w:tcPr>
            <w:tcW w:w="915" w:type="dxa"/>
            <w:shd w:val="clear" w:color="auto" w:fill="FF9900"/>
            <w:tcMar>
              <w:top w:w="100" w:type="dxa"/>
              <w:left w:w="100" w:type="dxa"/>
              <w:bottom w:w="100" w:type="dxa"/>
              <w:right w:w="100" w:type="dxa"/>
            </w:tcMar>
          </w:tcPr>
          <w:p w14:paraId="5F2BD110" w14:textId="77777777" w:rsidR="00BC388A" w:rsidRDefault="00140473">
            <w:pPr>
              <w:widowControl w:val="0"/>
              <w:spacing w:after="0" w:line="240" w:lineRule="auto"/>
              <w:jc w:val="left"/>
              <w:rPr>
                <w:b/>
              </w:rPr>
            </w:pPr>
            <w:r>
              <w:rPr>
                <w:b/>
              </w:rPr>
              <w:t>Results</w:t>
            </w:r>
          </w:p>
        </w:tc>
      </w:tr>
      <w:tr w:rsidR="00BC388A" w14:paraId="69C532D3" w14:textId="77777777">
        <w:tc>
          <w:tcPr>
            <w:tcW w:w="6840" w:type="dxa"/>
            <w:shd w:val="clear" w:color="auto" w:fill="auto"/>
            <w:tcMar>
              <w:top w:w="100" w:type="dxa"/>
              <w:left w:w="100" w:type="dxa"/>
              <w:bottom w:w="100" w:type="dxa"/>
              <w:right w:w="100" w:type="dxa"/>
            </w:tcMar>
          </w:tcPr>
          <w:p w14:paraId="36F13AFE" w14:textId="77777777" w:rsidR="00BC388A" w:rsidRDefault="00140473">
            <w:pPr>
              <w:widowControl w:val="0"/>
              <w:spacing w:after="0" w:line="240" w:lineRule="auto"/>
              <w:jc w:val="left"/>
            </w:pPr>
            <w:r>
              <w:rPr>
                <w:b/>
                <w:color w:val="FF9900"/>
              </w:rPr>
              <w:t>RDA-A1-01M</w:t>
            </w:r>
            <w:r>
              <w:t xml:space="preserve"> Metadata contains information to enable the user to get access to the data.</w:t>
            </w:r>
          </w:p>
          <w:p w14:paraId="5F70F990"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13"/>
                <w:id w:val="-1167014708"/>
              </w:sdtPr>
              <w:sdtEndPr/>
              <w:sdtContent>
                <w:r w:rsidR="00140473">
                  <w:rPr>
                    <w:rFonts w:ascii="Arial Unicode MS" w:eastAsia="Arial Unicode MS" w:hAnsi="Arial Unicode MS" w:cs="Arial Unicode MS"/>
                    <w:sz w:val="20"/>
                    <w:szCs w:val="20"/>
                    <w:highlight w:val="white"/>
                  </w:rPr>
                  <w:t>● Principle: A1: (Meta)data are retrievable by their identifier using a standardised communication protocol.</w:t>
                </w:r>
              </w:sdtContent>
            </w:sdt>
          </w:p>
          <w:p w14:paraId="0C22FA9C"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14"/>
                <w:id w:val="849375804"/>
              </w:sdtPr>
              <w:sdtEndPr/>
              <w:sdtContent>
                <w:r w:rsidR="00140473">
                  <w:rPr>
                    <w:rFonts w:ascii="Arial Unicode MS" w:eastAsia="Arial Unicode MS" w:hAnsi="Arial Unicode MS" w:cs="Arial Unicode MS"/>
                    <w:sz w:val="20"/>
                    <w:szCs w:val="20"/>
                    <w:highlight w:val="white"/>
                  </w:rPr>
                  <w:t>● Description: The indicator refers to the information that is necessary to allow the requester to gain access to the digital object. It is about (</w:t>
                </w:r>
                <w:proofErr w:type="spellStart"/>
                <w:r w:rsidR="00140473">
                  <w:rPr>
                    <w:rFonts w:ascii="Arial Unicode MS" w:eastAsia="Arial Unicode MS" w:hAnsi="Arial Unicode MS" w:cs="Arial Unicode MS"/>
                    <w:sz w:val="20"/>
                    <w:szCs w:val="20"/>
                    <w:highlight w:val="white"/>
                  </w:rPr>
                  <w:t>i</w:t>
                </w:r>
                <w:proofErr w:type="spellEnd"/>
                <w:r w:rsidR="00140473">
                  <w:rPr>
                    <w:rFonts w:ascii="Arial Unicode MS" w:eastAsia="Arial Unicode MS" w:hAnsi="Arial Unicode MS" w:cs="Arial Unicode MS"/>
                    <w:sz w:val="20"/>
                    <w:szCs w:val="20"/>
                    <w:highlight w:val="white"/>
                  </w:rPr>
                  <w:t xml:space="preserve">) restrictions to access the data (i.e. access to the data may be open, restricted or closed), (ii) the actions to be taken by a person who is interested to access the data, in particular when the data has not been published on the Web or (iii) specifications that the resources are available through specified authentication/authorisation system including single sign-on providers such as </w:t>
                </w:r>
                <w:proofErr w:type="spellStart"/>
                <w:r w:rsidR="00140473">
                  <w:rPr>
                    <w:rFonts w:ascii="Arial Unicode MS" w:eastAsia="Arial Unicode MS" w:hAnsi="Arial Unicode MS" w:cs="Arial Unicode MS"/>
                    <w:sz w:val="20"/>
                    <w:szCs w:val="20"/>
                    <w:highlight w:val="white"/>
                  </w:rPr>
                  <w:t>eduGAIN</w:t>
                </w:r>
                <w:proofErr w:type="spellEnd"/>
                <w:r w:rsidR="00140473">
                  <w:rPr>
                    <w:rFonts w:ascii="Arial Unicode MS" w:eastAsia="Arial Unicode MS" w:hAnsi="Arial Unicode MS" w:cs="Arial Unicode MS"/>
                    <w:sz w:val="20"/>
                    <w:szCs w:val="20"/>
                    <w:highlight w:val="white"/>
                  </w:rPr>
                  <w:t xml:space="preserve"> or through specialised solutions.</w:t>
                </w:r>
              </w:sdtContent>
            </w:sdt>
          </w:p>
        </w:tc>
        <w:tc>
          <w:tcPr>
            <w:tcW w:w="1275" w:type="dxa"/>
            <w:shd w:val="clear" w:color="auto" w:fill="auto"/>
            <w:tcMar>
              <w:top w:w="100" w:type="dxa"/>
              <w:left w:w="100" w:type="dxa"/>
              <w:bottom w:w="100" w:type="dxa"/>
              <w:right w:w="100" w:type="dxa"/>
            </w:tcMar>
          </w:tcPr>
          <w:p w14:paraId="34F4D85D" w14:textId="77777777" w:rsidR="00BC388A" w:rsidRDefault="00140473">
            <w:pPr>
              <w:widowControl w:val="0"/>
              <w:spacing w:after="0" w:line="240" w:lineRule="auto"/>
              <w:jc w:val="left"/>
              <w:rPr>
                <w:b/>
                <w:color w:val="F07E19"/>
              </w:rPr>
            </w:pPr>
            <w:r>
              <w:rPr>
                <w:b/>
                <w:color w:val="F07E19"/>
              </w:rPr>
              <w:t>Important</w:t>
            </w:r>
          </w:p>
        </w:tc>
        <w:tc>
          <w:tcPr>
            <w:tcW w:w="915" w:type="dxa"/>
            <w:shd w:val="clear" w:color="auto" w:fill="auto"/>
            <w:tcMar>
              <w:top w:w="100" w:type="dxa"/>
              <w:left w:w="100" w:type="dxa"/>
              <w:bottom w:w="100" w:type="dxa"/>
              <w:right w:w="100" w:type="dxa"/>
            </w:tcMar>
          </w:tcPr>
          <w:p w14:paraId="301D2946" w14:textId="77777777" w:rsidR="00BC388A" w:rsidRDefault="00140473">
            <w:pPr>
              <w:widowControl w:val="0"/>
              <w:spacing w:after="0" w:line="240" w:lineRule="auto"/>
              <w:jc w:val="left"/>
            </w:pPr>
            <w:r>
              <w:t>TRUE/FALSE</w:t>
            </w:r>
          </w:p>
        </w:tc>
      </w:tr>
      <w:tr w:rsidR="00BC388A" w14:paraId="22804DD5" w14:textId="77777777">
        <w:tc>
          <w:tcPr>
            <w:tcW w:w="6840" w:type="dxa"/>
            <w:shd w:val="clear" w:color="auto" w:fill="auto"/>
            <w:tcMar>
              <w:top w:w="100" w:type="dxa"/>
              <w:left w:w="100" w:type="dxa"/>
              <w:bottom w:w="100" w:type="dxa"/>
              <w:right w:w="100" w:type="dxa"/>
            </w:tcMar>
          </w:tcPr>
          <w:p w14:paraId="4D3BC508" w14:textId="77777777" w:rsidR="00BC388A" w:rsidRDefault="00140473">
            <w:pPr>
              <w:widowControl w:val="0"/>
              <w:spacing w:after="0" w:line="240" w:lineRule="auto"/>
              <w:jc w:val="left"/>
            </w:pPr>
            <w:r>
              <w:rPr>
                <w:b/>
                <w:color w:val="FF0000"/>
              </w:rPr>
              <w:t>RDA-A1-02M</w:t>
            </w:r>
            <w:r>
              <w:t xml:space="preserve"> Metadata can be accessed manually (i.e. with human intervention).</w:t>
            </w:r>
          </w:p>
          <w:p w14:paraId="0902B1D4"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15"/>
                <w:id w:val="-982537274"/>
              </w:sdtPr>
              <w:sdtEndPr/>
              <w:sdtContent>
                <w:r w:rsidR="00140473">
                  <w:rPr>
                    <w:rFonts w:ascii="Arial Unicode MS" w:eastAsia="Arial Unicode MS" w:hAnsi="Arial Unicode MS" w:cs="Arial Unicode MS"/>
                    <w:sz w:val="20"/>
                    <w:szCs w:val="20"/>
                    <w:highlight w:val="white"/>
                  </w:rPr>
                  <w:t>● Principle: A1: (Meta)data are retrievable by their identifier using a standardised communication protocol.</w:t>
                </w:r>
              </w:sdtContent>
            </w:sdt>
          </w:p>
          <w:p w14:paraId="476CD766"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16"/>
                <w:id w:val="623584506"/>
              </w:sdtPr>
              <w:sdtEndPr/>
              <w:sdtContent>
                <w:r w:rsidR="00140473">
                  <w:rPr>
                    <w:rFonts w:ascii="Arial Unicode MS" w:eastAsia="Arial Unicode MS" w:hAnsi="Arial Unicode MS" w:cs="Arial Unicode MS"/>
                    <w:sz w:val="20"/>
                    <w:szCs w:val="20"/>
                    <w:highlight w:val="white"/>
                  </w:rPr>
                  <w:t>● Description: The indicator refers to any human interactions that are needed if the requester wants to access metadata. The FAIR principle refers mostly to automated interactions where a machine is able to access the metadata, but there may also be metadata that require human interactions. This may be important in cases where the metadata itself contains sensitive information. Human interaction might involve sending an e-mail to the metadata owner, or calling by telephone to receive instructions.</w:t>
                </w:r>
              </w:sdtContent>
            </w:sdt>
          </w:p>
          <w:p w14:paraId="3590458A"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17"/>
                <w:id w:val="-741866748"/>
              </w:sdtPr>
              <w:sdtEndPr/>
              <w:sdtContent>
                <w:r w:rsidR="00140473">
                  <w:rPr>
                    <w:rFonts w:ascii="Arial Unicode MS" w:eastAsia="Arial Unicode MS" w:hAnsi="Arial Unicode MS" w:cs="Arial Unicode MS"/>
                    <w:sz w:val="20"/>
                    <w:szCs w:val="20"/>
                    <w:highlight w:val="white"/>
                  </w:rPr>
                  <w:t xml:space="preserve">● Assessment details: The indicator can be evaluated by looking for information about the way that metadata can be accessed with human intervention, either in documentation, for example in a landing page, or in metadata about the metadata in cases where there is multi-layered metadata, for example using </w:t>
                </w:r>
                <w:proofErr w:type="spellStart"/>
                <w:r w:rsidR="00140473">
                  <w:rPr>
                    <w:rFonts w:ascii="Arial Unicode MS" w:eastAsia="Arial Unicode MS" w:hAnsi="Arial Unicode MS" w:cs="Arial Unicode MS"/>
                    <w:sz w:val="20"/>
                    <w:szCs w:val="20"/>
                    <w:highlight w:val="white"/>
                  </w:rPr>
                  <w:t>CatalogRecord</w:t>
                </w:r>
                <w:proofErr w:type="spellEnd"/>
                <w:r w:rsidR="00140473">
                  <w:rPr>
                    <w:rFonts w:ascii="Arial Unicode MS" w:eastAsia="Arial Unicode MS" w:hAnsi="Arial Unicode MS" w:cs="Arial Unicode MS"/>
                    <w:sz w:val="20"/>
                    <w:szCs w:val="20"/>
                    <w:highlight w:val="white"/>
                  </w:rPr>
                  <w:t xml:space="preserve"> in DCAT.</w:t>
                </w:r>
              </w:sdtContent>
            </w:sdt>
          </w:p>
        </w:tc>
        <w:tc>
          <w:tcPr>
            <w:tcW w:w="1275" w:type="dxa"/>
            <w:shd w:val="clear" w:color="auto" w:fill="auto"/>
            <w:tcMar>
              <w:top w:w="100" w:type="dxa"/>
              <w:left w:w="100" w:type="dxa"/>
              <w:bottom w:w="100" w:type="dxa"/>
              <w:right w:w="100" w:type="dxa"/>
            </w:tcMar>
          </w:tcPr>
          <w:p w14:paraId="7AC87EAB" w14:textId="77777777" w:rsidR="00BC388A" w:rsidRDefault="00140473">
            <w:pPr>
              <w:widowControl w:val="0"/>
              <w:spacing w:after="0" w:line="240" w:lineRule="auto"/>
              <w:jc w:val="left"/>
              <w:rPr>
                <w:b/>
              </w:rPr>
            </w:pPr>
            <w:r>
              <w:rPr>
                <w:b/>
                <w:color w:val="FF0000"/>
              </w:rPr>
              <w:t>Essential</w:t>
            </w:r>
          </w:p>
        </w:tc>
        <w:tc>
          <w:tcPr>
            <w:tcW w:w="915" w:type="dxa"/>
            <w:shd w:val="clear" w:color="auto" w:fill="auto"/>
            <w:tcMar>
              <w:top w:w="100" w:type="dxa"/>
              <w:left w:w="100" w:type="dxa"/>
              <w:bottom w:w="100" w:type="dxa"/>
              <w:right w:w="100" w:type="dxa"/>
            </w:tcMar>
          </w:tcPr>
          <w:p w14:paraId="78B06785" w14:textId="77777777" w:rsidR="00BC388A" w:rsidRDefault="00140473">
            <w:pPr>
              <w:widowControl w:val="0"/>
              <w:spacing w:after="0" w:line="240" w:lineRule="auto"/>
              <w:jc w:val="left"/>
            </w:pPr>
            <w:r>
              <w:t>TRUE/FALSE</w:t>
            </w:r>
          </w:p>
        </w:tc>
      </w:tr>
      <w:tr w:rsidR="00BC388A" w14:paraId="171EF078" w14:textId="77777777">
        <w:tc>
          <w:tcPr>
            <w:tcW w:w="6840" w:type="dxa"/>
            <w:shd w:val="clear" w:color="auto" w:fill="auto"/>
            <w:tcMar>
              <w:top w:w="100" w:type="dxa"/>
              <w:left w:w="100" w:type="dxa"/>
              <w:bottom w:w="100" w:type="dxa"/>
              <w:right w:w="100" w:type="dxa"/>
            </w:tcMar>
          </w:tcPr>
          <w:p w14:paraId="2F36A93D" w14:textId="77777777" w:rsidR="00BC388A" w:rsidRDefault="00140473">
            <w:pPr>
              <w:widowControl w:val="0"/>
              <w:spacing w:after="0" w:line="240" w:lineRule="auto"/>
              <w:jc w:val="left"/>
            </w:pPr>
            <w:r>
              <w:rPr>
                <w:b/>
                <w:color w:val="FF0000"/>
              </w:rPr>
              <w:t>RDA-A1-02D</w:t>
            </w:r>
            <w:r>
              <w:t xml:space="preserve"> Data can be accessed manually (i.e. with human intervention).</w:t>
            </w:r>
          </w:p>
          <w:p w14:paraId="5F07603A"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18"/>
                <w:id w:val="-51005967"/>
              </w:sdtPr>
              <w:sdtEndPr/>
              <w:sdtContent>
                <w:r w:rsidR="00140473">
                  <w:rPr>
                    <w:rFonts w:ascii="Arial Unicode MS" w:eastAsia="Arial Unicode MS" w:hAnsi="Arial Unicode MS" w:cs="Arial Unicode MS"/>
                    <w:sz w:val="20"/>
                    <w:szCs w:val="20"/>
                    <w:highlight w:val="white"/>
                  </w:rPr>
                  <w:t>● Principle: A1: (Meta)data are retrievable by their identifier using a standardised communication protocol.</w:t>
                </w:r>
              </w:sdtContent>
            </w:sdt>
          </w:p>
          <w:p w14:paraId="39036D75"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19"/>
                <w:id w:val="929240210"/>
              </w:sdtPr>
              <w:sdtEndPr/>
              <w:sdtContent>
                <w:r w:rsidR="00140473">
                  <w:rPr>
                    <w:rFonts w:ascii="Arial Unicode MS" w:eastAsia="Arial Unicode MS" w:hAnsi="Arial Unicode MS" w:cs="Arial Unicode MS"/>
                    <w:sz w:val="20"/>
                    <w:szCs w:val="20"/>
                    <w:highlight w:val="white"/>
                  </w:rPr>
                  <w:t>● Description: The indicator refers to any human interactions that are needed if the requester wants to access the digital object. The FAIR principle refers mostly to automated interactions where a machine is able to access the digital object, but there may also be digital objects that require human interactions, such as clicking on a link on a landing page, sending an e-mail to the data owner, or even calling by telephone.</w:t>
                </w:r>
              </w:sdtContent>
            </w:sdt>
          </w:p>
          <w:p w14:paraId="538AF9EB"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20"/>
                <w:id w:val="-2078733709"/>
              </w:sdtPr>
              <w:sdtEndPr/>
              <w:sdtContent>
                <w:r w:rsidR="00140473">
                  <w:rPr>
                    <w:rFonts w:ascii="Arial Unicode MS" w:eastAsia="Arial Unicode MS" w:hAnsi="Arial Unicode MS" w:cs="Arial Unicode MS"/>
                    <w:sz w:val="20"/>
                    <w:szCs w:val="20"/>
                    <w:highlight w:val="white"/>
                  </w:rPr>
                  <w:t>● Assessment details: The indicator can be evaluated by looking for information in the metadata that describes how access to the digital object can be obtained through human intervention.</w:t>
                </w:r>
              </w:sdtContent>
            </w:sdt>
          </w:p>
        </w:tc>
        <w:tc>
          <w:tcPr>
            <w:tcW w:w="1275" w:type="dxa"/>
            <w:shd w:val="clear" w:color="auto" w:fill="auto"/>
            <w:tcMar>
              <w:top w:w="100" w:type="dxa"/>
              <w:left w:w="100" w:type="dxa"/>
              <w:bottom w:w="100" w:type="dxa"/>
              <w:right w:w="100" w:type="dxa"/>
            </w:tcMar>
          </w:tcPr>
          <w:p w14:paraId="15A2931A" w14:textId="77777777" w:rsidR="00BC388A" w:rsidRDefault="00140473">
            <w:pPr>
              <w:widowControl w:val="0"/>
              <w:spacing w:after="0" w:line="240" w:lineRule="auto"/>
              <w:jc w:val="left"/>
              <w:rPr>
                <w:b/>
              </w:rPr>
            </w:pPr>
            <w:r>
              <w:rPr>
                <w:b/>
                <w:color w:val="FF0000"/>
              </w:rPr>
              <w:t>Essential</w:t>
            </w:r>
          </w:p>
        </w:tc>
        <w:tc>
          <w:tcPr>
            <w:tcW w:w="915" w:type="dxa"/>
            <w:shd w:val="clear" w:color="auto" w:fill="auto"/>
            <w:tcMar>
              <w:top w:w="100" w:type="dxa"/>
              <w:left w:w="100" w:type="dxa"/>
              <w:bottom w:w="100" w:type="dxa"/>
              <w:right w:w="100" w:type="dxa"/>
            </w:tcMar>
          </w:tcPr>
          <w:p w14:paraId="18F2010C" w14:textId="77777777" w:rsidR="00BC388A" w:rsidRDefault="00140473">
            <w:pPr>
              <w:widowControl w:val="0"/>
              <w:spacing w:after="0" w:line="240" w:lineRule="auto"/>
              <w:jc w:val="left"/>
            </w:pPr>
            <w:r>
              <w:t>TRUE/FALSE</w:t>
            </w:r>
          </w:p>
        </w:tc>
      </w:tr>
      <w:tr w:rsidR="00BC388A" w14:paraId="48A94EE3" w14:textId="77777777">
        <w:tc>
          <w:tcPr>
            <w:tcW w:w="6840" w:type="dxa"/>
            <w:shd w:val="clear" w:color="auto" w:fill="auto"/>
            <w:tcMar>
              <w:top w:w="100" w:type="dxa"/>
              <w:left w:w="100" w:type="dxa"/>
              <w:bottom w:w="100" w:type="dxa"/>
              <w:right w:w="100" w:type="dxa"/>
            </w:tcMar>
          </w:tcPr>
          <w:p w14:paraId="18FBED89" w14:textId="77777777" w:rsidR="00BC388A" w:rsidRDefault="00140473">
            <w:pPr>
              <w:widowControl w:val="0"/>
              <w:spacing w:after="0" w:line="240" w:lineRule="auto"/>
              <w:jc w:val="left"/>
            </w:pPr>
            <w:r>
              <w:rPr>
                <w:b/>
                <w:color w:val="FF0000"/>
              </w:rPr>
              <w:lastRenderedPageBreak/>
              <w:t>RDA-A1-03M</w:t>
            </w:r>
            <w:r>
              <w:t xml:space="preserve"> Metadata identifier resolves to a metadata record.</w:t>
            </w:r>
          </w:p>
          <w:p w14:paraId="13D44E41"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21"/>
                <w:id w:val="441805100"/>
              </w:sdtPr>
              <w:sdtEndPr/>
              <w:sdtContent>
                <w:r w:rsidR="00140473">
                  <w:rPr>
                    <w:rFonts w:ascii="Arial Unicode MS" w:eastAsia="Arial Unicode MS" w:hAnsi="Arial Unicode MS" w:cs="Arial Unicode MS"/>
                    <w:sz w:val="20"/>
                    <w:szCs w:val="20"/>
                    <w:highlight w:val="white"/>
                  </w:rPr>
                  <w:t>● Principle: A1: (Meta)data are retrievable by their identifier using a standardised communication protocol.</w:t>
                </w:r>
              </w:sdtContent>
            </w:sdt>
          </w:p>
          <w:p w14:paraId="52CAD0E7"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22"/>
                <w:id w:val="229274590"/>
              </w:sdtPr>
              <w:sdtEndPr/>
              <w:sdtContent>
                <w:r w:rsidR="00140473">
                  <w:rPr>
                    <w:rFonts w:ascii="Arial Unicode MS" w:eastAsia="Arial Unicode MS" w:hAnsi="Arial Unicode MS" w:cs="Arial Unicode MS"/>
                    <w:sz w:val="20"/>
                    <w:szCs w:val="20"/>
                    <w:highlight w:val="white"/>
                  </w:rPr>
                  <w:t>● Description: This indicator is about the resolution of the metadata identifier. The identifier assigned to the metadata should be associated with a resolution service that enables access to the metadata record.</w:t>
                </w:r>
              </w:sdtContent>
            </w:sdt>
          </w:p>
          <w:p w14:paraId="49BD1E16"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23"/>
                <w:id w:val="1462388930"/>
              </w:sdtPr>
              <w:sdtEndPr/>
              <w:sdtContent>
                <w:r w:rsidR="00140473">
                  <w:rPr>
                    <w:rFonts w:ascii="Arial Unicode MS" w:eastAsia="Arial Unicode MS" w:hAnsi="Arial Unicode MS" w:cs="Arial Unicode MS"/>
                    <w:sz w:val="20"/>
                    <w:szCs w:val="20"/>
                    <w:highlight w:val="white"/>
                  </w:rPr>
                  <w:t>● Assessment details: The indicator can be evaluated by checking that the metadata can be accessed using its identifier. The evaluator or evaluation tool may also want to verify  that the resolution delivers the correct metadata record.</w:t>
                </w:r>
              </w:sdtContent>
            </w:sdt>
          </w:p>
        </w:tc>
        <w:tc>
          <w:tcPr>
            <w:tcW w:w="1275" w:type="dxa"/>
            <w:shd w:val="clear" w:color="auto" w:fill="auto"/>
            <w:tcMar>
              <w:top w:w="100" w:type="dxa"/>
              <w:left w:w="100" w:type="dxa"/>
              <w:bottom w:w="100" w:type="dxa"/>
              <w:right w:w="100" w:type="dxa"/>
            </w:tcMar>
          </w:tcPr>
          <w:p w14:paraId="7738089B" w14:textId="77777777" w:rsidR="00BC388A" w:rsidRDefault="00140473">
            <w:pPr>
              <w:widowControl w:val="0"/>
              <w:spacing w:after="0" w:line="240" w:lineRule="auto"/>
              <w:jc w:val="left"/>
              <w:rPr>
                <w:b/>
              </w:rPr>
            </w:pPr>
            <w:r>
              <w:rPr>
                <w:b/>
                <w:color w:val="FF0000"/>
              </w:rPr>
              <w:t>Essential</w:t>
            </w:r>
          </w:p>
        </w:tc>
        <w:tc>
          <w:tcPr>
            <w:tcW w:w="915" w:type="dxa"/>
            <w:shd w:val="clear" w:color="auto" w:fill="auto"/>
            <w:tcMar>
              <w:top w:w="100" w:type="dxa"/>
              <w:left w:w="100" w:type="dxa"/>
              <w:bottom w:w="100" w:type="dxa"/>
              <w:right w:w="100" w:type="dxa"/>
            </w:tcMar>
          </w:tcPr>
          <w:p w14:paraId="3BAF219D" w14:textId="77777777" w:rsidR="00BC388A" w:rsidRDefault="00140473">
            <w:pPr>
              <w:widowControl w:val="0"/>
              <w:spacing w:after="0" w:line="240" w:lineRule="auto"/>
              <w:jc w:val="left"/>
            </w:pPr>
            <w:r>
              <w:t>TRUE/FALSE</w:t>
            </w:r>
          </w:p>
        </w:tc>
      </w:tr>
      <w:tr w:rsidR="00BC388A" w14:paraId="3F8DE829" w14:textId="77777777">
        <w:tc>
          <w:tcPr>
            <w:tcW w:w="6840" w:type="dxa"/>
            <w:shd w:val="clear" w:color="auto" w:fill="auto"/>
            <w:tcMar>
              <w:top w:w="100" w:type="dxa"/>
              <w:left w:w="100" w:type="dxa"/>
              <w:bottom w:w="100" w:type="dxa"/>
              <w:right w:w="100" w:type="dxa"/>
            </w:tcMar>
          </w:tcPr>
          <w:p w14:paraId="224445EA" w14:textId="77777777" w:rsidR="00BC388A" w:rsidRDefault="00140473">
            <w:pPr>
              <w:widowControl w:val="0"/>
              <w:spacing w:after="0" w:line="240" w:lineRule="auto"/>
              <w:jc w:val="left"/>
            </w:pPr>
            <w:r>
              <w:rPr>
                <w:b/>
                <w:color w:val="FF0000"/>
              </w:rPr>
              <w:t>RDA-A1-03D</w:t>
            </w:r>
            <w:r>
              <w:t xml:space="preserve"> Data identifier resolves to a digital object.</w:t>
            </w:r>
          </w:p>
          <w:p w14:paraId="303AE79E"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24"/>
                <w:id w:val="2095894546"/>
              </w:sdtPr>
              <w:sdtEndPr/>
              <w:sdtContent>
                <w:r w:rsidR="00140473">
                  <w:rPr>
                    <w:rFonts w:ascii="Arial Unicode MS" w:eastAsia="Arial Unicode MS" w:hAnsi="Arial Unicode MS" w:cs="Arial Unicode MS"/>
                    <w:sz w:val="20"/>
                    <w:szCs w:val="20"/>
                    <w:highlight w:val="white"/>
                  </w:rPr>
                  <w:t>● Principle: A1: (Meta)data are retrievable by their identifier using a standardised communication protocol.</w:t>
                </w:r>
              </w:sdtContent>
            </w:sdt>
          </w:p>
          <w:p w14:paraId="5ED4686C"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25"/>
                <w:id w:val="-1363287229"/>
              </w:sdtPr>
              <w:sdtEndPr/>
              <w:sdtContent>
                <w:r w:rsidR="00140473">
                  <w:rPr>
                    <w:rFonts w:ascii="Arial Unicode MS" w:eastAsia="Arial Unicode MS" w:hAnsi="Arial Unicode MS" w:cs="Arial Unicode MS"/>
                    <w:sz w:val="20"/>
                    <w:szCs w:val="20"/>
                    <w:highlight w:val="white"/>
                  </w:rPr>
                  <w:t>● Description: This indicator is about the resolution of the identifier that identifies the digital object. The identifier assigned to the data should be associated with a formally defined retrieval/resolution mechanism that enables access to the digital object or provides access instructions for access in the case of human-mediated access. The FAIR  principle and this indicator do not say anything about the mutability or immutability of the digital object that is identified by the data identifier -- this is an aspect that should be governed by a persistence policy of the data provider.</w:t>
                </w:r>
              </w:sdtContent>
            </w:sdt>
          </w:p>
          <w:p w14:paraId="15B6D0C7"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26"/>
                <w:id w:val="-397278117"/>
              </w:sdtPr>
              <w:sdtEndPr/>
              <w:sdtContent>
                <w:r w:rsidR="00140473">
                  <w:rPr>
                    <w:rFonts w:ascii="Arial Unicode MS" w:eastAsia="Arial Unicode MS" w:hAnsi="Arial Unicode MS" w:cs="Arial Unicode MS"/>
                    <w:sz w:val="20"/>
                    <w:szCs w:val="20"/>
                    <w:highlight w:val="white"/>
                  </w:rPr>
                  <w:t>● Assessment details: The  indicator can be  evaluated by invoking the mechanism specific to the protocol (e.g. GET for HTTP) and verifying that this delivers the digital object.</w:t>
                </w:r>
              </w:sdtContent>
            </w:sdt>
          </w:p>
        </w:tc>
        <w:tc>
          <w:tcPr>
            <w:tcW w:w="1275" w:type="dxa"/>
            <w:shd w:val="clear" w:color="auto" w:fill="auto"/>
            <w:tcMar>
              <w:top w:w="100" w:type="dxa"/>
              <w:left w:w="100" w:type="dxa"/>
              <w:bottom w:w="100" w:type="dxa"/>
              <w:right w:w="100" w:type="dxa"/>
            </w:tcMar>
          </w:tcPr>
          <w:p w14:paraId="21741818" w14:textId="77777777" w:rsidR="00BC388A" w:rsidRDefault="00140473">
            <w:pPr>
              <w:widowControl w:val="0"/>
              <w:spacing w:after="0" w:line="240" w:lineRule="auto"/>
              <w:jc w:val="left"/>
              <w:rPr>
                <w:b/>
              </w:rPr>
            </w:pPr>
            <w:r>
              <w:rPr>
                <w:b/>
                <w:color w:val="FF0000"/>
              </w:rPr>
              <w:t>Essential</w:t>
            </w:r>
          </w:p>
        </w:tc>
        <w:tc>
          <w:tcPr>
            <w:tcW w:w="915" w:type="dxa"/>
            <w:shd w:val="clear" w:color="auto" w:fill="auto"/>
            <w:tcMar>
              <w:top w:w="100" w:type="dxa"/>
              <w:left w:w="100" w:type="dxa"/>
              <w:bottom w:w="100" w:type="dxa"/>
              <w:right w:w="100" w:type="dxa"/>
            </w:tcMar>
          </w:tcPr>
          <w:p w14:paraId="7DCD143A" w14:textId="77777777" w:rsidR="00BC388A" w:rsidRDefault="00140473">
            <w:pPr>
              <w:widowControl w:val="0"/>
              <w:spacing w:after="0" w:line="240" w:lineRule="auto"/>
              <w:jc w:val="left"/>
            </w:pPr>
            <w:r>
              <w:t>TRUE/FALSE</w:t>
            </w:r>
          </w:p>
        </w:tc>
      </w:tr>
      <w:tr w:rsidR="00BC388A" w14:paraId="33634897" w14:textId="77777777">
        <w:tc>
          <w:tcPr>
            <w:tcW w:w="6840" w:type="dxa"/>
            <w:shd w:val="clear" w:color="auto" w:fill="auto"/>
            <w:tcMar>
              <w:top w:w="100" w:type="dxa"/>
              <w:left w:w="100" w:type="dxa"/>
              <w:bottom w:w="100" w:type="dxa"/>
              <w:right w:w="100" w:type="dxa"/>
            </w:tcMar>
          </w:tcPr>
          <w:p w14:paraId="421046BC" w14:textId="77777777" w:rsidR="00BC388A" w:rsidRDefault="00140473">
            <w:pPr>
              <w:widowControl w:val="0"/>
              <w:spacing w:after="0" w:line="240" w:lineRule="auto"/>
              <w:jc w:val="left"/>
            </w:pPr>
            <w:r>
              <w:rPr>
                <w:b/>
                <w:color w:val="FF0000"/>
              </w:rPr>
              <w:t>RDA-A1-04M</w:t>
            </w:r>
            <w:r>
              <w:t xml:space="preserve"> Metadata is accessed through standardised protocol.</w:t>
            </w:r>
          </w:p>
          <w:p w14:paraId="05766BF9"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27"/>
                <w:id w:val="1697735645"/>
              </w:sdtPr>
              <w:sdtEndPr/>
              <w:sdtContent>
                <w:r w:rsidR="00140473">
                  <w:rPr>
                    <w:rFonts w:ascii="Arial Unicode MS" w:eastAsia="Arial Unicode MS" w:hAnsi="Arial Unicode MS" w:cs="Arial Unicode MS"/>
                    <w:sz w:val="20"/>
                    <w:szCs w:val="20"/>
                    <w:highlight w:val="white"/>
                  </w:rPr>
                  <w:t>● Principle: A1: (Meta)data are retrievable by their identifier using a standardised communication protocol.</w:t>
                </w:r>
              </w:sdtContent>
            </w:sdt>
          </w:p>
          <w:p w14:paraId="2B18E27C"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28"/>
                <w:id w:val="1740818224"/>
              </w:sdtPr>
              <w:sdtEndPr/>
              <w:sdtContent>
                <w:r w:rsidR="00140473">
                  <w:rPr>
                    <w:rFonts w:ascii="Arial Unicode MS" w:eastAsia="Arial Unicode MS" w:hAnsi="Arial Unicode MS" w:cs="Arial Unicode MS"/>
                    <w:sz w:val="20"/>
                    <w:szCs w:val="20"/>
                    <w:highlight w:val="white"/>
                  </w:rPr>
                  <w:t>● Description: The indicator concerns the protocol through which the metadata is accessed and requires the protocol to be defined in a standard.</w:t>
                </w:r>
              </w:sdtContent>
            </w:sdt>
          </w:p>
          <w:p w14:paraId="74B57D45"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29"/>
                <w:id w:val="-212354791"/>
              </w:sdtPr>
              <w:sdtEndPr/>
              <w:sdtContent>
                <w:r w:rsidR="00140473">
                  <w:rPr>
                    <w:rFonts w:ascii="Arial Unicode MS" w:eastAsia="Arial Unicode MS" w:hAnsi="Arial Unicode MS" w:cs="Arial Unicode MS"/>
                    <w:sz w:val="20"/>
                    <w:szCs w:val="20"/>
                    <w:highlight w:val="white"/>
                  </w:rPr>
                  <w:t>● Assessment details: This indicator can be evaluated by looking at the way the metadata can be accessed. Common metadata access protocols are HTTP and FTP, Atom,</w:t>
                </w:r>
              </w:sdtContent>
            </w:sdt>
          </w:p>
          <w:p w14:paraId="7193B22E" w14:textId="77777777" w:rsidR="00BC388A" w:rsidRDefault="00140473">
            <w:pPr>
              <w:widowControl w:val="0"/>
              <w:spacing w:after="0" w:line="240" w:lineRule="auto"/>
              <w:jc w:val="left"/>
              <w:rPr>
                <w:rFonts w:ascii="Roboto" w:eastAsia="Roboto" w:hAnsi="Roboto" w:cs="Roboto"/>
                <w:sz w:val="20"/>
                <w:szCs w:val="20"/>
                <w:highlight w:val="white"/>
              </w:rPr>
            </w:pPr>
            <w:r>
              <w:rPr>
                <w:rFonts w:ascii="Roboto" w:eastAsia="Roboto" w:hAnsi="Roboto" w:cs="Roboto"/>
                <w:sz w:val="20"/>
                <w:szCs w:val="20"/>
                <w:highlight w:val="white"/>
              </w:rPr>
              <w:t>OAI-PMH and Web Services Metadata Exchange.</w:t>
            </w:r>
          </w:p>
        </w:tc>
        <w:tc>
          <w:tcPr>
            <w:tcW w:w="1275" w:type="dxa"/>
            <w:shd w:val="clear" w:color="auto" w:fill="auto"/>
            <w:tcMar>
              <w:top w:w="100" w:type="dxa"/>
              <w:left w:w="100" w:type="dxa"/>
              <w:bottom w:w="100" w:type="dxa"/>
              <w:right w:w="100" w:type="dxa"/>
            </w:tcMar>
          </w:tcPr>
          <w:p w14:paraId="4A278120" w14:textId="77777777" w:rsidR="00BC388A" w:rsidRDefault="00140473">
            <w:pPr>
              <w:widowControl w:val="0"/>
              <w:spacing w:after="0" w:line="240" w:lineRule="auto"/>
              <w:jc w:val="left"/>
              <w:rPr>
                <w:b/>
              </w:rPr>
            </w:pPr>
            <w:r>
              <w:rPr>
                <w:b/>
                <w:color w:val="FF0000"/>
              </w:rPr>
              <w:t>Essential</w:t>
            </w:r>
          </w:p>
        </w:tc>
        <w:tc>
          <w:tcPr>
            <w:tcW w:w="915" w:type="dxa"/>
            <w:shd w:val="clear" w:color="auto" w:fill="auto"/>
            <w:tcMar>
              <w:top w:w="100" w:type="dxa"/>
              <w:left w:w="100" w:type="dxa"/>
              <w:bottom w:w="100" w:type="dxa"/>
              <w:right w:w="100" w:type="dxa"/>
            </w:tcMar>
          </w:tcPr>
          <w:p w14:paraId="6891908C" w14:textId="77777777" w:rsidR="00BC388A" w:rsidRDefault="00140473">
            <w:pPr>
              <w:widowControl w:val="0"/>
              <w:spacing w:after="0" w:line="240" w:lineRule="auto"/>
              <w:jc w:val="left"/>
            </w:pPr>
            <w:r>
              <w:t>TRUE/FALSE</w:t>
            </w:r>
          </w:p>
        </w:tc>
      </w:tr>
      <w:tr w:rsidR="00BC388A" w14:paraId="14BE2982" w14:textId="77777777">
        <w:tc>
          <w:tcPr>
            <w:tcW w:w="6840" w:type="dxa"/>
            <w:shd w:val="clear" w:color="auto" w:fill="auto"/>
            <w:tcMar>
              <w:top w:w="100" w:type="dxa"/>
              <w:left w:w="100" w:type="dxa"/>
              <w:bottom w:w="100" w:type="dxa"/>
              <w:right w:w="100" w:type="dxa"/>
            </w:tcMar>
          </w:tcPr>
          <w:p w14:paraId="02E49AC2" w14:textId="77777777" w:rsidR="00BC388A" w:rsidRDefault="00140473">
            <w:pPr>
              <w:widowControl w:val="0"/>
              <w:spacing w:after="0" w:line="240" w:lineRule="auto"/>
              <w:jc w:val="left"/>
            </w:pPr>
            <w:r>
              <w:rPr>
                <w:b/>
                <w:color w:val="FF0000"/>
              </w:rPr>
              <w:t>RDA-A1-04D</w:t>
            </w:r>
            <w:r>
              <w:t xml:space="preserve"> Data is accessible through standardised protocol.</w:t>
            </w:r>
          </w:p>
          <w:p w14:paraId="1711A60C"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30"/>
                <w:id w:val="1462150153"/>
              </w:sdtPr>
              <w:sdtEndPr/>
              <w:sdtContent>
                <w:r w:rsidR="00140473">
                  <w:rPr>
                    <w:rFonts w:ascii="Arial Unicode MS" w:eastAsia="Arial Unicode MS" w:hAnsi="Arial Unicode MS" w:cs="Arial Unicode MS"/>
                    <w:sz w:val="20"/>
                    <w:szCs w:val="20"/>
                    <w:highlight w:val="white"/>
                  </w:rPr>
                  <w:t>● Principle: A1: (Meta)data are retrievable by their identifier using a standardised communication protocol.</w:t>
                </w:r>
              </w:sdtContent>
            </w:sdt>
          </w:p>
          <w:p w14:paraId="1B1BDC3A"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31"/>
                <w:id w:val="1110249951"/>
              </w:sdtPr>
              <w:sdtEndPr/>
              <w:sdtContent>
                <w:r w:rsidR="00140473">
                  <w:rPr>
                    <w:rFonts w:ascii="Arial Unicode MS" w:eastAsia="Arial Unicode MS" w:hAnsi="Arial Unicode MS" w:cs="Arial Unicode MS"/>
                    <w:sz w:val="20"/>
                    <w:szCs w:val="20"/>
                    <w:highlight w:val="white"/>
                  </w:rPr>
                  <w:t>● Description: The indicator concerns the protocol through which the digital object is accessed and requires the protocol to be defined in a standard.</w:t>
                </w:r>
              </w:sdtContent>
            </w:sdt>
          </w:p>
          <w:p w14:paraId="16DC5A97"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32"/>
                <w:id w:val="-236559730"/>
              </w:sdtPr>
              <w:sdtEndPr/>
              <w:sdtContent>
                <w:r w:rsidR="00140473">
                  <w:rPr>
                    <w:rFonts w:ascii="Arial Unicode MS" w:eastAsia="Arial Unicode MS" w:hAnsi="Arial Unicode MS" w:cs="Arial Unicode MS"/>
                    <w:sz w:val="20"/>
                    <w:szCs w:val="20"/>
                    <w:highlight w:val="white"/>
                  </w:rPr>
                  <w:t>● Assessment details: This indicator can be evaluated by looking at the way the data can be accessed. Common data access protocols are HTTP and FTP, DAP and JSON-RPC.</w:t>
                </w:r>
              </w:sdtContent>
            </w:sdt>
          </w:p>
        </w:tc>
        <w:tc>
          <w:tcPr>
            <w:tcW w:w="1275" w:type="dxa"/>
            <w:shd w:val="clear" w:color="auto" w:fill="auto"/>
            <w:tcMar>
              <w:top w:w="100" w:type="dxa"/>
              <w:left w:w="100" w:type="dxa"/>
              <w:bottom w:w="100" w:type="dxa"/>
              <w:right w:w="100" w:type="dxa"/>
            </w:tcMar>
          </w:tcPr>
          <w:p w14:paraId="1E8C0B34" w14:textId="77777777" w:rsidR="00BC388A" w:rsidRDefault="00140473">
            <w:pPr>
              <w:widowControl w:val="0"/>
              <w:spacing w:after="0" w:line="240" w:lineRule="auto"/>
              <w:jc w:val="left"/>
              <w:rPr>
                <w:b/>
              </w:rPr>
            </w:pPr>
            <w:r>
              <w:rPr>
                <w:b/>
                <w:color w:val="FF0000"/>
              </w:rPr>
              <w:t>Essential</w:t>
            </w:r>
          </w:p>
        </w:tc>
        <w:tc>
          <w:tcPr>
            <w:tcW w:w="915" w:type="dxa"/>
            <w:shd w:val="clear" w:color="auto" w:fill="auto"/>
            <w:tcMar>
              <w:top w:w="100" w:type="dxa"/>
              <w:left w:w="100" w:type="dxa"/>
              <w:bottom w:w="100" w:type="dxa"/>
              <w:right w:w="100" w:type="dxa"/>
            </w:tcMar>
          </w:tcPr>
          <w:p w14:paraId="7D969424" w14:textId="77777777" w:rsidR="00BC388A" w:rsidRDefault="00140473">
            <w:pPr>
              <w:widowControl w:val="0"/>
              <w:spacing w:after="0" w:line="240" w:lineRule="auto"/>
              <w:jc w:val="left"/>
            </w:pPr>
            <w:r>
              <w:t>TRUE/FALSE</w:t>
            </w:r>
          </w:p>
        </w:tc>
      </w:tr>
      <w:tr w:rsidR="00BC388A" w14:paraId="7E104BE5" w14:textId="77777777">
        <w:tc>
          <w:tcPr>
            <w:tcW w:w="6840" w:type="dxa"/>
            <w:shd w:val="clear" w:color="auto" w:fill="auto"/>
            <w:tcMar>
              <w:top w:w="100" w:type="dxa"/>
              <w:left w:w="100" w:type="dxa"/>
              <w:bottom w:w="100" w:type="dxa"/>
              <w:right w:w="100" w:type="dxa"/>
            </w:tcMar>
          </w:tcPr>
          <w:p w14:paraId="5E4B2097" w14:textId="77777777" w:rsidR="00BC388A" w:rsidRDefault="00140473">
            <w:pPr>
              <w:widowControl w:val="0"/>
              <w:spacing w:after="0" w:line="240" w:lineRule="auto"/>
              <w:jc w:val="left"/>
            </w:pPr>
            <w:r>
              <w:rPr>
                <w:b/>
                <w:color w:val="F07E19"/>
              </w:rPr>
              <w:t>RDA-A1-05D</w:t>
            </w:r>
            <w:r>
              <w:t xml:space="preserve"> Data can be accessed automatically (i.e. by a computer program).</w:t>
            </w:r>
          </w:p>
          <w:p w14:paraId="032E1BD3"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33"/>
                <w:id w:val="775529164"/>
              </w:sdtPr>
              <w:sdtEndPr/>
              <w:sdtContent>
                <w:r w:rsidR="00140473">
                  <w:rPr>
                    <w:rFonts w:ascii="Arial Unicode MS" w:eastAsia="Arial Unicode MS" w:hAnsi="Arial Unicode MS" w:cs="Arial Unicode MS"/>
                    <w:sz w:val="20"/>
                    <w:szCs w:val="20"/>
                    <w:highlight w:val="white"/>
                  </w:rPr>
                  <w:t>● Principle: A1: (Meta)data are retrievable by their identifier using a standardised communication protocol.</w:t>
                </w:r>
              </w:sdtContent>
            </w:sdt>
          </w:p>
          <w:p w14:paraId="1AEE0E66"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34"/>
                <w:id w:val="-943074310"/>
              </w:sdtPr>
              <w:sdtEndPr/>
              <w:sdtContent>
                <w:r w:rsidR="00140473">
                  <w:rPr>
                    <w:rFonts w:ascii="Arial Unicode MS" w:eastAsia="Arial Unicode MS" w:hAnsi="Arial Unicode MS" w:cs="Arial Unicode MS"/>
                    <w:sz w:val="20"/>
                    <w:szCs w:val="20"/>
                    <w:highlight w:val="white"/>
                  </w:rPr>
                  <w:t>● Description: The indicator refers to automated interactions between machines to access digital objects. The way machines interact and grant access to the digital object.</w:t>
                </w:r>
              </w:sdtContent>
            </w:sdt>
          </w:p>
          <w:p w14:paraId="39AB20FF"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35"/>
                <w:id w:val="2079699611"/>
              </w:sdtPr>
              <w:sdtEndPr/>
              <w:sdtContent>
                <w:r w:rsidR="00140473">
                  <w:rPr>
                    <w:rFonts w:ascii="Arial Unicode MS" w:eastAsia="Arial Unicode MS" w:hAnsi="Arial Unicode MS" w:cs="Arial Unicode MS"/>
                    <w:sz w:val="20"/>
                    <w:szCs w:val="20"/>
                    <w:highlight w:val="white"/>
                  </w:rPr>
                  <w:t xml:space="preserve">● Assessment details: This indicator can be evaluated by resolving the </w:t>
                </w:r>
                <w:r w:rsidR="00140473">
                  <w:rPr>
                    <w:rFonts w:ascii="Arial Unicode MS" w:eastAsia="Arial Unicode MS" w:hAnsi="Arial Unicode MS" w:cs="Arial Unicode MS"/>
                    <w:sz w:val="20"/>
                    <w:szCs w:val="20"/>
                    <w:highlight w:val="white"/>
                  </w:rPr>
                  <w:lastRenderedPageBreak/>
                  <w:t xml:space="preserve">link to the data, e.g. by resolving the persistent identifier and verifying that the data is reached. In the common case that the identifier is an HTTP URI, this can be done using the HTTP GET method. The evaluator or evaluation tool may also want </w:t>
                </w:r>
                <w:proofErr w:type="spellStart"/>
                <w:r w:rsidR="00140473">
                  <w:rPr>
                    <w:rFonts w:ascii="Arial Unicode MS" w:eastAsia="Arial Unicode MS" w:hAnsi="Arial Unicode MS" w:cs="Arial Unicode MS"/>
                    <w:sz w:val="20"/>
                    <w:szCs w:val="20"/>
                    <w:highlight w:val="white"/>
                  </w:rPr>
                  <w:t>t o</w:t>
                </w:r>
                <w:proofErr w:type="spellEnd"/>
                <w:r w:rsidR="00140473">
                  <w:rPr>
                    <w:rFonts w:ascii="Arial Unicode MS" w:eastAsia="Arial Unicode MS" w:hAnsi="Arial Unicode MS" w:cs="Arial Unicode MS"/>
                    <w:sz w:val="20"/>
                    <w:szCs w:val="20"/>
                    <w:highlight w:val="white"/>
                  </w:rPr>
                  <w:t xml:space="preserve"> verify that the resolution delivers the correct data.</w:t>
                </w:r>
              </w:sdtContent>
            </w:sdt>
          </w:p>
        </w:tc>
        <w:tc>
          <w:tcPr>
            <w:tcW w:w="1275" w:type="dxa"/>
            <w:shd w:val="clear" w:color="auto" w:fill="auto"/>
            <w:tcMar>
              <w:top w:w="100" w:type="dxa"/>
              <w:left w:w="100" w:type="dxa"/>
              <w:bottom w:w="100" w:type="dxa"/>
              <w:right w:w="100" w:type="dxa"/>
            </w:tcMar>
          </w:tcPr>
          <w:p w14:paraId="751D9B1E" w14:textId="77777777" w:rsidR="00BC388A" w:rsidRDefault="00140473">
            <w:pPr>
              <w:widowControl w:val="0"/>
              <w:spacing w:after="0" w:line="240" w:lineRule="auto"/>
              <w:jc w:val="left"/>
              <w:rPr>
                <w:b/>
                <w:color w:val="F07E19"/>
              </w:rPr>
            </w:pPr>
            <w:r>
              <w:rPr>
                <w:b/>
                <w:color w:val="F07E19"/>
              </w:rPr>
              <w:lastRenderedPageBreak/>
              <w:t>Important</w:t>
            </w:r>
          </w:p>
        </w:tc>
        <w:tc>
          <w:tcPr>
            <w:tcW w:w="915" w:type="dxa"/>
            <w:shd w:val="clear" w:color="auto" w:fill="auto"/>
            <w:tcMar>
              <w:top w:w="100" w:type="dxa"/>
              <w:left w:w="100" w:type="dxa"/>
              <w:bottom w:w="100" w:type="dxa"/>
              <w:right w:w="100" w:type="dxa"/>
            </w:tcMar>
          </w:tcPr>
          <w:p w14:paraId="0BD4CEDB" w14:textId="77777777" w:rsidR="00BC388A" w:rsidRDefault="00140473">
            <w:pPr>
              <w:widowControl w:val="0"/>
              <w:spacing w:after="0" w:line="240" w:lineRule="auto"/>
              <w:jc w:val="left"/>
            </w:pPr>
            <w:r>
              <w:t>TRUE/FALSE</w:t>
            </w:r>
          </w:p>
        </w:tc>
      </w:tr>
      <w:tr w:rsidR="00BC388A" w14:paraId="6D6003F9" w14:textId="77777777">
        <w:tc>
          <w:tcPr>
            <w:tcW w:w="6840" w:type="dxa"/>
            <w:shd w:val="clear" w:color="auto" w:fill="auto"/>
            <w:tcMar>
              <w:top w:w="100" w:type="dxa"/>
              <w:left w:w="100" w:type="dxa"/>
              <w:bottom w:w="100" w:type="dxa"/>
              <w:right w:w="100" w:type="dxa"/>
            </w:tcMar>
          </w:tcPr>
          <w:p w14:paraId="523C9410" w14:textId="77777777" w:rsidR="00BC388A" w:rsidRDefault="00140473">
            <w:pPr>
              <w:widowControl w:val="0"/>
              <w:spacing w:after="0" w:line="240" w:lineRule="auto"/>
              <w:jc w:val="left"/>
            </w:pPr>
            <w:r>
              <w:rPr>
                <w:b/>
                <w:color w:val="FF0000"/>
              </w:rPr>
              <w:t>RDA-A1.1-01M</w:t>
            </w:r>
            <w:r>
              <w:t xml:space="preserve"> Metadata is accessible through a free access protocol.</w:t>
            </w:r>
          </w:p>
          <w:p w14:paraId="79091E06"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36"/>
                <w:id w:val="1400256787"/>
              </w:sdtPr>
              <w:sdtEndPr/>
              <w:sdtContent>
                <w:r w:rsidR="00140473">
                  <w:rPr>
                    <w:rFonts w:ascii="Arial Unicode MS" w:eastAsia="Arial Unicode MS" w:hAnsi="Arial Unicode MS" w:cs="Arial Unicode MS"/>
                    <w:sz w:val="20"/>
                    <w:szCs w:val="20"/>
                    <w:highlight w:val="white"/>
                  </w:rPr>
                  <w:t>● Principle: A1.1: The protocol is open, free and universally implementable.</w:t>
                </w:r>
              </w:sdtContent>
            </w:sdt>
          </w:p>
          <w:p w14:paraId="6DD1C1D1"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37"/>
                <w:id w:val="-662397995"/>
              </w:sdtPr>
              <w:sdtEndPr/>
              <w:sdtContent>
                <w:r w:rsidR="00140473">
                  <w:rPr>
                    <w:rFonts w:ascii="Arial Unicode MS" w:eastAsia="Arial Unicode MS" w:hAnsi="Arial Unicode MS" w:cs="Arial Unicode MS"/>
                    <w:sz w:val="20"/>
                    <w:szCs w:val="20"/>
                    <w:highlight w:val="white"/>
                  </w:rPr>
                  <w:t>● Description: The indicator tests that the protocol that enables the requester to access metadata can be freely used. Such free use of the protocol enhances data reusability.</w:t>
                </w:r>
              </w:sdtContent>
            </w:sdt>
          </w:p>
          <w:p w14:paraId="23054FA9"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38"/>
                <w:id w:val="-1555386931"/>
              </w:sdtPr>
              <w:sdtEndPr/>
              <w:sdtContent>
                <w:r w:rsidR="00140473">
                  <w:rPr>
                    <w:rFonts w:ascii="Arial Unicode MS" w:eastAsia="Arial Unicode MS" w:hAnsi="Arial Unicode MS" w:cs="Arial Unicode MS"/>
                    <w:sz w:val="20"/>
                    <w:szCs w:val="20"/>
                    <w:highlight w:val="white"/>
                  </w:rPr>
                  <w:t>● Assessment details: The indicator can be evaluated on the basis of information provided about whether the use of the protocol is free of charge. Common examples are HTTP and FTP.</w:t>
                </w:r>
              </w:sdtContent>
            </w:sdt>
          </w:p>
        </w:tc>
        <w:tc>
          <w:tcPr>
            <w:tcW w:w="1275" w:type="dxa"/>
            <w:shd w:val="clear" w:color="auto" w:fill="auto"/>
            <w:tcMar>
              <w:top w:w="100" w:type="dxa"/>
              <w:left w:w="100" w:type="dxa"/>
              <w:bottom w:w="100" w:type="dxa"/>
              <w:right w:w="100" w:type="dxa"/>
            </w:tcMar>
          </w:tcPr>
          <w:p w14:paraId="1DCDCD0E" w14:textId="77777777" w:rsidR="00BC388A" w:rsidRDefault="00140473">
            <w:pPr>
              <w:widowControl w:val="0"/>
              <w:spacing w:after="0" w:line="240" w:lineRule="auto"/>
              <w:jc w:val="left"/>
              <w:rPr>
                <w:b/>
                <w:color w:val="FF0000"/>
              </w:rPr>
            </w:pPr>
            <w:r>
              <w:rPr>
                <w:b/>
                <w:color w:val="FF0000"/>
              </w:rPr>
              <w:t>Essential</w:t>
            </w:r>
          </w:p>
        </w:tc>
        <w:tc>
          <w:tcPr>
            <w:tcW w:w="915" w:type="dxa"/>
            <w:shd w:val="clear" w:color="auto" w:fill="auto"/>
            <w:tcMar>
              <w:top w:w="100" w:type="dxa"/>
              <w:left w:w="100" w:type="dxa"/>
              <w:bottom w:w="100" w:type="dxa"/>
              <w:right w:w="100" w:type="dxa"/>
            </w:tcMar>
          </w:tcPr>
          <w:p w14:paraId="7B405093" w14:textId="77777777" w:rsidR="00BC388A" w:rsidRDefault="00140473">
            <w:pPr>
              <w:widowControl w:val="0"/>
              <w:spacing w:after="0" w:line="240" w:lineRule="auto"/>
              <w:jc w:val="left"/>
            </w:pPr>
            <w:r>
              <w:t>TRUE/FALSE</w:t>
            </w:r>
          </w:p>
        </w:tc>
      </w:tr>
      <w:tr w:rsidR="00BC388A" w14:paraId="0C0AFB55" w14:textId="77777777">
        <w:tc>
          <w:tcPr>
            <w:tcW w:w="6840" w:type="dxa"/>
            <w:shd w:val="clear" w:color="auto" w:fill="auto"/>
            <w:tcMar>
              <w:top w:w="100" w:type="dxa"/>
              <w:left w:w="100" w:type="dxa"/>
              <w:bottom w:w="100" w:type="dxa"/>
              <w:right w:w="100" w:type="dxa"/>
            </w:tcMar>
          </w:tcPr>
          <w:p w14:paraId="178548F1" w14:textId="77777777" w:rsidR="00BC388A" w:rsidRDefault="00140473">
            <w:pPr>
              <w:widowControl w:val="0"/>
              <w:spacing w:after="0" w:line="240" w:lineRule="auto"/>
              <w:jc w:val="left"/>
            </w:pPr>
            <w:r>
              <w:rPr>
                <w:b/>
                <w:color w:val="FF9900"/>
              </w:rPr>
              <w:t>RDA-A1.1-01D</w:t>
            </w:r>
            <w:r>
              <w:t xml:space="preserve"> Data is accessible through a free access protocol.</w:t>
            </w:r>
          </w:p>
          <w:p w14:paraId="6F4C052A"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39"/>
                <w:id w:val="-95103798"/>
              </w:sdtPr>
              <w:sdtEndPr/>
              <w:sdtContent>
                <w:r w:rsidR="00140473">
                  <w:rPr>
                    <w:rFonts w:ascii="Arial Unicode MS" w:eastAsia="Arial Unicode MS" w:hAnsi="Arial Unicode MS" w:cs="Arial Unicode MS"/>
                    <w:sz w:val="20"/>
                    <w:szCs w:val="20"/>
                    <w:highlight w:val="white"/>
                  </w:rPr>
                  <w:t>● Principle: A2: Metadata should be accessible even when the data is no longer available.</w:t>
                </w:r>
              </w:sdtContent>
            </w:sdt>
          </w:p>
          <w:p w14:paraId="526EFE43"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40"/>
                <w:id w:val="-1235076734"/>
              </w:sdtPr>
              <w:sdtEndPr/>
              <w:sdtContent>
                <w:r w:rsidR="00140473">
                  <w:rPr>
                    <w:rFonts w:ascii="Arial Unicode MS" w:eastAsia="Arial Unicode MS" w:hAnsi="Arial Unicode MS" w:cs="Arial Unicode MS"/>
                    <w:sz w:val="20"/>
                    <w:szCs w:val="20"/>
                    <w:highlight w:val="white"/>
                  </w:rPr>
                  <w:t>● Description: The indicator intends to verify that information about a digital object is still available after the object has been deleted or otherwise has become unavailable. If possible, the metadata that remains available should also indicate why the object is no longer available.</w:t>
                </w:r>
              </w:sdtContent>
            </w:sdt>
          </w:p>
          <w:p w14:paraId="071D40A9"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41"/>
                <w:id w:val="2145857340"/>
              </w:sdtPr>
              <w:sdtEndPr/>
              <w:sdtContent>
                <w:r w:rsidR="00140473">
                  <w:rPr>
                    <w:rFonts w:ascii="Arial Unicode MS" w:eastAsia="Arial Unicode MS" w:hAnsi="Arial Unicode MS" w:cs="Arial Unicode MS"/>
                    <w:sz w:val="20"/>
                    <w:szCs w:val="20"/>
                    <w:highlight w:val="white"/>
                  </w:rPr>
                  <w:t>● Assessment details: The indicator can be evaluated by assessing whether an authentication and authorisation process is present in the protocol (e.g. HMAC).</w:t>
                </w:r>
              </w:sdtContent>
            </w:sdt>
          </w:p>
        </w:tc>
        <w:tc>
          <w:tcPr>
            <w:tcW w:w="1275" w:type="dxa"/>
            <w:shd w:val="clear" w:color="auto" w:fill="auto"/>
            <w:tcMar>
              <w:top w:w="100" w:type="dxa"/>
              <w:left w:w="100" w:type="dxa"/>
              <w:bottom w:w="100" w:type="dxa"/>
              <w:right w:w="100" w:type="dxa"/>
            </w:tcMar>
          </w:tcPr>
          <w:p w14:paraId="08465197" w14:textId="77777777" w:rsidR="00BC388A" w:rsidRDefault="00140473">
            <w:pPr>
              <w:widowControl w:val="0"/>
              <w:spacing w:after="0" w:line="240" w:lineRule="auto"/>
              <w:jc w:val="left"/>
              <w:rPr>
                <w:b/>
                <w:color w:val="F07E19"/>
              </w:rPr>
            </w:pPr>
            <w:r>
              <w:rPr>
                <w:b/>
                <w:color w:val="F07E19"/>
              </w:rPr>
              <w:t>Important</w:t>
            </w:r>
          </w:p>
        </w:tc>
        <w:tc>
          <w:tcPr>
            <w:tcW w:w="915" w:type="dxa"/>
            <w:shd w:val="clear" w:color="auto" w:fill="auto"/>
            <w:tcMar>
              <w:top w:w="100" w:type="dxa"/>
              <w:left w:w="100" w:type="dxa"/>
              <w:bottom w:w="100" w:type="dxa"/>
              <w:right w:w="100" w:type="dxa"/>
            </w:tcMar>
          </w:tcPr>
          <w:p w14:paraId="0CB4B832" w14:textId="77777777" w:rsidR="00BC388A" w:rsidRDefault="00140473">
            <w:pPr>
              <w:widowControl w:val="0"/>
              <w:spacing w:after="0" w:line="240" w:lineRule="auto"/>
              <w:jc w:val="left"/>
            </w:pPr>
            <w:r>
              <w:t>TRUE/FALSE</w:t>
            </w:r>
          </w:p>
        </w:tc>
      </w:tr>
      <w:tr w:rsidR="00BC388A" w14:paraId="541F8F8C" w14:textId="77777777">
        <w:tc>
          <w:tcPr>
            <w:tcW w:w="6840" w:type="dxa"/>
            <w:shd w:val="clear" w:color="auto" w:fill="auto"/>
            <w:tcMar>
              <w:top w:w="100" w:type="dxa"/>
              <w:left w:w="100" w:type="dxa"/>
              <w:bottom w:w="100" w:type="dxa"/>
              <w:right w:w="100" w:type="dxa"/>
            </w:tcMar>
          </w:tcPr>
          <w:p w14:paraId="1C58A2F4" w14:textId="77777777" w:rsidR="00BC388A" w:rsidRDefault="00140473">
            <w:pPr>
              <w:widowControl w:val="0"/>
              <w:spacing w:after="0" w:line="240" w:lineRule="auto"/>
              <w:jc w:val="left"/>
            </w:pPr>
            <w:r>
              <w:rPr>
                <w:b/>
                <w:color w:val="0000FF"/>
              </w:rPr>
              <w:t>RDA-A1.2-01D</w:t>
            </w:r>
            <w:r>
              <w:t xml:space="preserve"> Data is accessible through an access protocol that supports authentication and authorisation.</w:t>
            </w:r>
          </w:p>
          <w:p w14:paraId="0F703187"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42"/>
                <w:id w:val="1900710577"/>
              </w:sdtPr>
              <w:sdtEndPr/>
              <w:sdtContent>
                <w:r w:rsidR="00140473">
                  <w:rPr>
                    <w:rFonts w:ascii="Arial Unicode MS" w:eastAsia="Arial Unicode MS" w:hAnsi="Arial Unicode MS" w:cs="Arial Unicode MS"/>
                    <w:sz w:val="20"/>
                    <w:szCs w:val="20"/>
                    <w:highlight w:val="white"/>
                  </w:rPr>
                  <w:t>● Principle: A2: Metadata should be accessible even when the data is no longer available.</w:t>
                </w:r>
              </w:sdtContent>
            </w:sdt>
          </w:p>
          <w:p w14:paraId="5E28B513"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43"/>
                <w:id w:val="422998487"/>
              </w:sdtPr>
              <w:sdtEndPr/>
              <w:sdtContent>
                <w:r w:rsidR="00140473">
                  <w:rPr>
                    <w:rFonts w:ascii="Arial Unicode MS" w:eastAsia="Arial Unicode MS" w:hAnsi="Arial Unicode MS" w:cs="Arial Unicode MS"/>
                    <w:sz w:val="20"/>
                    <w:szCs w:val="20"/>
                    <w:highlight w:val="white"/>
                  </w:rPr>
                  <w:t>● Description: The indicator intends to verify that information about a digital object is still available after the object has been deleted or otherwise has become unavailable. If possible, the metadata that remains available should also indicate why the object is no longer available.</w:t>
                </w:r>
              </w:sdtContent>
            </w:sdt>
          </w:p>
          <w:p w14:paraId="5AB77A1C" w14:textId="77777777" w:rsidR="00BC388A" w:rsidRDefault="00737C5A">
            <w:pPr>
              <w:widowControl w:val="0"/>
              <w:spacing w:after="0" w:line="240" w:lineRule="auto"/>
              <w:jc w:val="left"/>
            </w:pPr>
            <w:sdt>
              <w:sdtPr>
                <w:tag w:val="goog_rdk_44"/>
                <w:id w:val="-1464794668"/>
              </w:sdtPr>
              <w:sdtEndPr/>
              <w:sdtContent>
                <w:r w:rsidR="00140473">
                  <w:rPr>
                    <w:rFonts w:ascii="Arial Unicode MS" w:eastAsia="Arial Unicode MS" w:hAnsi="Arial Unicode MS" w:cs="Arial Unicode MS"/>
                    <w:sz w:val="20"/>
                    <w:szCs w:val="20"/>
                    <w:highlight w:val="white"/>
                  </w:rPr>
                  <w:t>● Assessment details: The indicator can be evaluated by assessing whether an authentication and authorisation process is present in the protocol (e.g. HMAC).</w:t>
                </w:r>
              </w:sdtContent>
            </w:sdt>
          </w:p>
        </w:tc>
        <w:tc>
          <w:tcPr>
            <w:tcW w:w="1275" w:type="dxa"/>
            <w:shd w:val="clear" w:color="auto" w:fill="auto"/>
            <w:tcMar>
              <w:top w:w="100" w:type="dxa"/>
              <w:left w:w="100" w:type="dxa"/>
              <w:bottom w:w="100" w:type="dxa"/>
              <w:right w:w="100" w:type="dxa"/>
            </w:tcMar>
          </w:tcPr>
          <w:p w14:paraId="4BD466B4" w14:textId="77777777" w:rsidR="00BC388A" w:rsidRDefault="00140473">
            <w:pPr>
              <w:widowControl w:val="0"/>
              <w:spacing w:after="0" w:line="240" w:lineRule="auto"/>
              <w:jc w:val="left"/>
              <w:rPr>
                <w:b/>
                <w:color w:val="0000FF"/>
              </w:rPr>
            </w:pPr>
            <w:r>
              <w:rPr>
                <w:b/>
                <w:color w:val="0000FF"/>
              </w:rPr>
              <w:t>Useful</w:t>
            </w:r>
          </w:p>
        </w:tc>
        <w:tc>
          <w:tcPr>
            <w:tcW w:w="915" w:type="dxa"/>
            <w:shd w:val="clear" w:color="auto" w:fill="auto"/>
            <w:tcMar>
              <w:top w:w="100" w:type="dxa"/>
              <w:left w:w="100" w:type="dxa"/>
              <w:bottom w:w="100" w:type="dxa"/>
              <w:right w:w="100" w:type="dxa"/>
            </w:tcMar>
          </w:tcPr>
          <w:p w14:paraId="2E74DBC3" w14:textId="77777777" w:rsidR="00BC388A" w:rsidRDefault="00140473">
            <w:pPr>
              <w:widowControl w:val="0"/>
              <w:spacing w:after="0" w:line="240" w:lineRule="auto"/>
              <w:jc w:val="left"/>
            </w:pPr>
            <w:r>
              <w:t>TRUE/FALSE</w:t>
            </w:r>
          </w:p>
        </w:tc>
      </w:tr>
      <w:tr w:rsidR="00BC388A" w14:paraId="31E2152E" w14:textId="77777777">
        <w:tc>
          <w:tcPr>
            <w:tcW w:w="6840" w:type="dxa"/>
            <w:shd w:val="clear" w:color="auto" w:fill="auto"/>
            <w:tcMar>
              <w:top w:w="100" w:type="dxa"/>
              <w:left w:w="100" w:type="dxa"/>
              <w:bottom w:w="100" w:type="dxa"/>
              <w:right w:w="100" w:type="dxa"/>
            </w:tcMar>
          </w:tcPr>
          <w:p w14:paraId="59D2C12E" w14:textId="77777777" w:rsidR="00BC388A" w:rsidRDefault="00140473">
            <w:pPr>
              <w:widowControl w:val="0"/>
              <w:spacing w:after="0" w:line="240" w:lineRule="auto"/>
              <w:jc w:val="left"/>
            </w:pPr>
            <w:r>
              <w:rPr>
                <w:b/>
                <w:color w:val="FF0000"/>
              </w:rPr>
              <w:t>RDA-A2-01M</w:t>
            </w:r>
            <w:r>
              <w:t xml:space="preserve"> Metadata is guaranteed to remain available after data is no longer available.</w:t>
            </w:r>
          </w:p>
          <w:p w14:paraId="0549DAF4"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45"/>
                <w:id w:val="2104297645"/>
              </w:sdtPr>
              <w:sdtEndPr/>
              <w:sdtContent>
                <w:r w:rsidR="00140473">
                  <w:rPr>
                    <w:rFonts w:ascii="Arial Unicode MS" w:eastAsia="Arial Unicode MS" w:hAnsi="Arial Unicode MS" w:cs="Arial Unicode MS"/>
                    <w:sz w:val="20"/>
                    <w:szCs w:val="20"/>
                    <w:highlight w:val="white"/>
                  </w:rPr>
                  <w:t>● Principle: A2: Metadata should be accessible even when the data is no longer available</w:t>
                </w:r>
              </w:sdtContent>
            </w:sdt>
          </w:p>
          <w:p w14:paraId="7D6182ED"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46"/>
                <w:id w:val="727960647"/>
              </w:sdtPr>
              <w:sdtEndPr/>
              <w:sdtContent>
                <w:r w:rsidR="00140473">
                  <w:rPr>
                    <w:rFonts w:ascii="Arial Unicode MS" w:eastAsia="Arial Unicode MS" w:hAnsi="Arial Unicode MS" w:cs="Arial Unicode MS"/>
                    <w:sz w:val="20"/>
                    <w:szCs w:val="20"/>
                    <w:highlight w:val="white"/>
                  </w:rPr>
                  <w:t>● Description: The indicator intends to verify that information about a digital object is still available after the object has been deleted or otherwise has become unavailable. If possible, the metadata that remains available should also indicate why the object is no longer available.</w:t>
                </w:r>
              </w:sdtContent>
            </w:sdt>
          </w:p>
          <w:p w14:paraId="20E8B875"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47"/>
                <w:id w:val="355925564"/>
              </w:sdtPr>
              <w:sdtEndPr/>
              <w:sdtContent>
                <w:r w:rsidR="00140473">
                  <w:rPr>
                    <w:rFonts w:ascii="Arial Unicode MS" w:eastAsia="Arial Unicode MS" w:hAnsi="Arial Unicode MS" w:cs="Arial Unicode MS"/>
                    <w:sz w:val="20"/>
                    <w:szCs w:val="20"/>
                    <w:highlight w:val="white"/>
                  </w:rPr>
                  <w:t>● Assessment details: The indicator can be evaluated on the basis of information provided about the life cycle of metadata and data, which should indicate that the metadata will remain available if the data is no longer available. This information is likely to be available from the repository where the metadata and data are stored.</w:t>
                </w:r>
              </w:sdtContent>
            </w:sdt>
          </w:p>
        </w:tc>
        <w:tc>
          <w:tcPr>
            <w:tcW w:w="1275" w:type="dxa"/>
            <w:shd w:val="clear" w:color="auto" w:fill="auto"/>
            <w:tcMar>
              <w:top w:w="100" w:type="dxa"/>
              <w:left w:w="100" w:type="dxa"/>
              <w:bottom w:w="100" w:type="dxa"/>
              <w:right w:w="100" w:type="dxa"/>
            </w:tcMar>
          </w:tcPr>
          <w:p w14:paraId="1AF92BCF" w14:textId="77777777" w:rsidR="00BC388A" w:rsidRDefault="00140473">
            <w:pPr>
              <w:widowControl w:val="0"/>
              <w:spacing w:after="0" w:line="240" w:lineRule="auto"/>
              <w:jc w:val="left"/>
              <w:rPr>
                <w:b/>
                <w:color w:val="FF0000"/>
              </w:rPr>
            </w:pPr>
            <w:r>
              <w:rPr>
                <w:b/>
                <w:color w:val="FF0000"/>
              </w:rPr>
              <w:t>Essential</w:t>
            </w:r>
          </w:p>
        </w:tc>
        <w:tc>
          <w:tcPr>
            <w:tcW w:w="915" w:type="dxa"/>
            <w:shd w:val="clear" w:color="auto" w:fill="auto"/>
            <w:tcMar>
              <w:top w:w="100" w:type="dxa"/>
              <w:left w:w="100" w:type="dxa"/>
              <w:bottom w:w="100" w:type="dxa"/>
              <w:right w:w="100" w:type="dxa"/>
            </w:tcMar>
          </w:tcPr>
          <w:p w14:paraId="64126CBA" w14:textId="77777777" w:rsidR="00BC388A" w:rsidRDefault="00140473">
            <w:pPr>
              <w:widowControl w:val="0"/>
              <w:spacing w:after="0" w:line="240" w:lineRule="auto"/>
              <w:jc w:val="left"/>
            </w:pPr>
            <w:r>
              <w:t>TRUE/FALSE</w:t>
            </w:r>
          </w:p>
        </w:tc>
      </w:tr>
    </w:tbl>
    <w:p w14:paraId="495357FB" w14:textId="77777777" w:rsidR="00BC388A" w:rsidRDefault="00BC388A">
      <w:pPr>
        <w:rPr>
          <w:rFonts w:ascii="Times New Roman" w:eastAsia="Times New Roman" w:hAnsi="Times New Roman" w:cs="Times New Roman"/>
          <w:sz w:val="20"/>
          <w:szCs w:val="20"/>
        </w:rPr>
      </w:pPr>
    </w:p>
    <w:p w14:paraId="1D6322F5" w14:textId="77777777" w:rsidR="00BC388A" w:rsidRDefault="00BC388A"/>
    <w:tbl>
      <w:tblPr>
        <w:tblStyle w:val="af6"/>
        <w:tblW w:w="90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85"/>
        <w:gridCol w:w="2040"/>
        <w:gridCol w:w="1020"/>
      </w:tblGrid>
      <w:tr w:rsidR="00BC388A" w14:paraId="283770F0" w14:textId="77777777">
        <w:tc>
          <w:tcPr>
            <w:tcW w:w="5985" w:type="dxa"/>
            <w:shd w:val="clear" w:color="auto" w:fill="FF9900"/>
            <w:tcMar>
              <w:top w:w="100" w:type="dxa"/>
              <w:left w:w="100" w:type="dxa"/>
              <w:bottom w:w="100" w:type="dxa"/>
              <w:right w:w="100" w:type="dxa"/>
            </w:tcMar>
          </w:tcPr>
          <w:p w14:paraId="7F40E49F" w14:textId="77777777" w:rsidR="00BC388A" w:rsidRDefault="00140473">
            <w:pPr>
              <w:widowControl w:val="0"/>
              <w:spacing w:after="0" w:line="240" w:lineRule="auto"/>
              <w:jc w:val="left"/>
              <w:rPr>
                <w:b/>
              </w:rPr>
            </w:pPr>
            <w:r>
              <w:rPr>
                <w:b/>
              </w:rPr>
              <w:t>Indicators for Interoperable</w:t>
            </w:r>
          </w:p>
        </w:tc>
        <w:tc>
          <w:tcPr>
            <w:tcW w:w="2040" w:type="dxa"/>
            <w:shd w:val="clear" w:color="auto" w:fill="FF9900"/>
            <w:tcMar>
              <w:top w:w="100" w:type="dxa"/>
              <w:left w:w="100" w:type="dxa"/>
              <w:bottom w:w="100" w:type="dxa"/>
              <w:right w:w="100" w:type="dxa"/>
            </w:tcMar>
          </w:tcPr>
          <w:p w14:paraId="778F9CDF" w14:textId="77777777" w:rsidR="00BC388A" w:rsidRDefault="00140473">
            <w:pPr>
              <w:widowControl w:val="0"/>
              <w:spacing w:after="0" w:line="240" w:lineRule="auto"/>
              <w:jc w:val="left"/>
              <w:rPr>
                <w:b/>
              </w:rPr>
            </w:pPr>
            <w:r>
              <w:rPr>
                <w:b/>
              </w:rPr>
              <w:t>Priority</w:t>
            </w:r>
          </w:p>
        </w:tc>
        <w:tc>
          <w:tcPr>
            <w:tcW w:w="1020" w:type="dxa"/>
            <w:shd w:val="clear" w:color="auto" w:fill="FF9900"/>
            <w:tcMar>
              <w:top w:w="100" w:type="dxa"/>
              <w:left w:w="100" w:type="dxa"/>
              <w:bottom w:w="100" w:type="dxa"/>
              <w:right w:w="100" w:type="dxa"/>
            </w:tcMar>
          </w:tcPr>
          <w:p w14:paraId="5B82139E" w14:textId="77777777" w:rsidR="00BC388A" w:rsidRDefault="00140473">
            <w:pPr>
              <w:widowControl w:val="0"/>
              <w:spacing w:after="0" w:line="240" w:lineRule="auto"/>
              <w:jc w:val="left"/>
              <w:rPr>
                <w:b/>
              </w:rPr>
            </w:pPr>
            <w:r>
              <w:rPr>
                <w:b/>
              </w:rPr>
              <w:t>Results</w:t>
            </w:r>
          </w:p>
        </w:tc>
      </w:tr>
      <w:tr w:rsidR="00BC388A" w14:paraId="39D63403" w14:textId="77777777">
        <w:tc>
          <w:tcPr>
            <w:tcW w:w="5985" w:type="dxa"/>
            <w:shd w:val="clear" w:color="auto" w:fill="auto"/>
            <w:tcMar>
              <w:top w:w="100" w:type="dxa"/>
              <w:left w:w="100" w:type="dxa"/>
              <w:bottom w:w="100" w:type="dxa"/>
              <w:right w:w="100" w:type="dxa"/>
            </w:tcMar>
          </w:tcPr>
          <w:p w14:paraId="71F4672C" w14:textId="77777777" w:rsidR="00BC388A" w:rsidRDefault="00140473">
            <w:pPr>
              <w:widowControl w:val="0"/>
              <w:spacing w:after="0" w:line="240" w:lineRule="auto"/>
              <w:jc w:val="left"/>
            </w:pPr>
            <w:r>
              <w:rPr>
                <w:b/>
                <w:color w:val="F07E19"/>
              </w:rPr>
              <w:t>RDA-I1-01M</w:t>
            </w:r>
            <w:r>
              <w:t xml:space="preserve"> Metadata uses knowledge representation expressed in standardised format.</w:t>
            </w:r>
          </w:p>
          <w:p w14:paraId="482707D5"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48"/>
                <w:id w:val="-1301837258"/>
              </w:sdtPr>
              <w:sdtEndPr/>
              <w:sdtContent>
                <w:r w:rsidR="00140473">
                  <w:rPr>
                    <w:rFonts w:ascii="Arial Unicode MS" w:eastAsia="Arial Unicode MS" w:hAnsi="Arial Unicode MS" w:cs="Arial Unicode MS"/>
                    <w:sz w:val="20"/>
                    <w:szCs w:val="20"/>
                    <w:highlight w:val="white"/>
                  </w:rPr>
                  <w:t>● Principle: I1: (Meta)data use a formal, accessible,  shared,   and   broadly   applicable   language   for   knowledge representation.</w:t>
                </w:r>
              </w:sdtContent>
            </w:sdt>
          </w:p>
          <w:p w14:paraId="1C64522B"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49"/>
                <w:id w:val="-1897504726"/>
              </w:sdtPr>
              <w:sdtEndPr/>
              <w:sdtContent>
                <w:r w:rsidR="00140473">
                  <w:rPr>
                    <w:rFonts w:ascii="Arial Unicode MS" w:eastAsia="Arial Unicode MS" w:hAnsi="Arial Unicode MS" w:cs="Arial Unicode MS"/>
                    <w:sz w:val="20"/>
                    <w:szCs w:val="20"/>
                    <w:highlight w:val="white"/>
                  </w:rPr>
                  <w:t>● Description: The  indicator serves to determine that  an  appropriate standard is used to express  knowledge,  for   example,  controlled  vocabularies  for  subject classifications.</w:t>
                </w:r>
              </w:sdtContent>
            </w:sdt>
          </w:p>
          <w:p w14:paraId="4FB102A7"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50"/>
                <w:id w:val="-1825958584"/>
              </w:sdtPr>
              <w:sdtEndPr/>
              <w:sdtContent>
                <w:r w:rsidR="00140473">
                  <w:rPr>
                    <w:rFonts w:ascii="Arial Unicode MS" w:eastAsia="Arial Unicode MS" w:hAnsi="Arial Unicode MS" w:cs="Arial Unicode MS"/>
                    <w:sz w:val="20"/>
                    <w:szCs w:val="20"/>
                    <w:highlight w:val="white"/>
                  </w:rPr>
                  <w:t xml:space="preserve">● Assessment details: The   indicator can be evaluated by looking at information describing the way metadata values are expressed using controlled vocabularies, verifying that the standard used is appropriate for the domain and the  type of  digital object. Deciding on the  appropriateness of  the  knowledge representation may  be based on its inclusion in a registry like the one developed by </w:t>
                </w:r>
                <w:proofErr w:type="spellStart"/>
                <w:r w:rsidR="00140473">
                  <w:rPr>
                    <w:rFonts w:ascii="Arial Unicode MS" w:eastAsia="Arial Unicode MS" w:hAnsi="Arial Unicode MS" w:cs="Arial Unicode MS"/>
                    <w:sz w:val="20"/>
                    <w:szCs w:val="20"/>
                    <w:highlight w:val="white"/>
                  </w:rPr>
                  <w:t>FAIRsharing</w:t>
                </w:r>
                <w:proofErr w:type="spellEnd"/>
                <w:r w:rsidR="00140473">
                  <w:rPr>
                    <w:rFonts w:ascii="Arial Unicode MS" w:eastAsia="Arial Unicode MS" w:hAnsi="Arial Unicode MS" w:cs="Arial Unicode MS"/>
                    <w:sz w:val="20"/>
                    <w:szCs w:val="20"/>
                    <w:highlight w:val="white"/>
                  </w:rPr>
                  <w:t>.</w:t>
                </w:r>
              </w:sdtContent>
            </w:sdt>
          </w:p>
        </w:tc>
        <w:tc>
          <w:tcPr>
            <w:tcW w:w="2040" w:type="dxa"/>
            <w:shd w:val="clear" w:color="auto" w:fill="auto"/>
            <w:tcMar>
              <w:top w:w="100" w:type="dxa"/>
              <w:left w:w="100" w:type="dxa"/>
              <w:bottom w:w="100" w:type="dxa"/>
              <w:right w:w="100" w:type="dxa"/>
            </w:tcMar>
          </w:tcPr>
          <w:p w14:paraId="54BFA200" w14:textId="77777777" w:rsidR="00BC388A" w:rsidRDefault="00140473">
            <w:pPr>
              <w:widowControl w:val="0"/>
              <w:spacing w:after="0" w:line="240" w:lineRule="auto"/>
              <w:jc w:val="left"/>
              <w:rPr>
                <w:b/>
                <w:color w:val="FF9900"/>
              </w:rPr>
            </w:pPr>
            <w:r>
              <w:rPr>
                <w:b/>
                <w:color w:val="FF9900"/>
              </w:rPr>
              <w:t>Important</w:t>
            </w:r>
          </w:p>
        </w:tc>
        <w:tc>
          <w:tcPr>
            <w:tcW w:w="1020" w:type="dxa"/>
            <w:shd w:val="clear" w:color="auto" w:fill="auto"/>
            <w:tcMar>
              <w:top w:w="100" w:type="dxa"/>
              <w:left w:w="100" w:type="dxa"/>
              <w:bottom w:w="100" w:type="dxa"/>
              <w:right w:w="100" w:type="dxa"/>
            </w:tcMar>
          </w:tcPr>
          <w:p w14:paraId="56B6B1F7" w14:textId="77777777" w:rsidR="00BC388A" w:rsidRDefault="00140473">
            <w:pPr>
              <w:widowControl w:val="0"/>
              <w:spacing w:after="0" w:line="240" w:lineRule="auto"/>
              <w:jc w:val="left"/>
            </w:pPr>
            <w:r>
              <w:t>TRUE/FALSE</w:t>
            </w:r>
          </w:p>
        </w:tc>
      </w:tr>
      <w:tr w:rsidR="00BC388A" w14:paraId="4C5BD5B1" w14:textId="77777777">
        <w:tc>
          <w:tcPr>
            <w:tcW w:w="5985" w:type="dxa"/>
            <w:shd w:val="clear" w:color="auto" w:fill="auto"/>
            <w:tcMar>
              <w:top w:w="100" w:type="dxa"/>
              <w:left w:w="100" w:type="dxa"/>
              <w:bottom w:w="100" w:type="dxa"/>
              <w:right w:w="100" w:type="dxa"/>
            </w:tcMar>
          </w:tcPr>
          <w:p w14:paraId="6996246A" w14:textId="77777777" w:rsidR="00BC388A" w:rsidRDefault="00140473">
            <w:pPr>
              <w:widowControl w:val="0"/>
              <w:spacing w:after="0" w:line="240" w:lineRule="auto"/>
              <w:jc w:val="left"/>
            </w:pPr>
            <w:r>
              <w:rPr>
                <w:b/>
                <w:color w:val="F07E19"/>
              </w:rPr>
              <w:t>RDA-I1-01D</w:t>
            </w:r>
            <w:r>
              <w:t xml:space="preserve"> Data uses knowledge representation expressed in standardised format.</w:t>
            </w:r>
          </w:p>
          <w:p w14:paraId="3FFFE1BB"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51"/>
                <w:id w:val="-1258515701"/>
              </w:sdtPr>
              <w:sdtEndPr/>
              <w:sdtContent>
                <w:r w:rsidR="00140473">
                  <w:rPr>
                    <w:rFonts w:ascii="Arial Unicode MS" w:eastAsia="Arial Unicode MS" w:hAnsi="Arial Unicode MS" w:cs="Arial Unicode MS"/>
                    <w:sz w:val="20"/>
                    <w:szCs w:val="20"/>
                    <w:highlight w:val="white"/>
                  </w:rPr>
                  <w:t>● Principle: I1: (Meta)data use a formal, accessible,  shared,   and   broadly   applicable   language   for   knowledge representation.</w:t>
                </w:r>
              </w:sdtContent>
            </w:sdt>
          </w:p>
          <w:p w14:paraId="56839A00"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52"/>
                <w:id w:val="1638683958"/>
              </w:sdtPr>
              <w:sdtEndPr/>
              <w:sdtContent>
                <w:r w:rsidR="00140473">
                  <w:rPr>
                    <w:rFonts w:ascii="Arial Unicode MS" w:eastAsia="Arial Unicode MS" w:hAnsi="Arial Unicode MS" w:cs="Arial Unicode MS"/>
                    <w:sz w:val="20"/>
                    <w:szCs w:val="20"/>
                    <w:highlight w:val="white"/>
                  </w:rPr>
                  <w:t xml:space="preserve">● Description: The  indicator serves to determine that  an  appropriate standard is used to express knowledge, in particular the data model and format. </w:t>
                </w:r>
              </w:sdtContent>
            </w:sdt>
          </w:p>
          <w:p w14:paraId="11B7CE64"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53"/>
                <w:id w:val="1020354957"/>
              </w:sdtPr>
              <w:sdtEndPr/>
              <w:sdtContent>
                <w:r w:rsidR="00140473">
                  <w:rPr>
                    <w:rFonts w:ascii="Arial Unicode MS" w:eastAsia="Arial Unicode MS" w:hAnsi="Arial Unicode MS" w:cs="Arial Unicode MS"/>
                    <w:sz w:val="20"/>
                    <w:szCs w:val="20"/>
                    <w:highlight w:val="white"/>
                  </w:rPr>
                  <w:t xml:space="preserve">● Assessment details: The e indicator can be evaluated by looking at information about the data model and format, verifying that the standard used is appropriate for the domain and the type of digital object. Deciding on the appropriateness of the knowledge representation may be based on its inclusion in a registry like the one developed by </w:t>
                </w:r>
                <w:proofErr w:type="spellStart"/>
                <w:r w:rsidR="00140473">
                  <w:rPr>
                    <w:rFonts w:ascii="Arial Unicode MS" w:eastAsia="Arial Unicode MS" w:hAnsi="Arial Unicode MS" w:cs="Arial Unicode MS"/>
                    <w:sz w:val="20"/>
                    <w:szCs w:val="20"/>
                    <w:highlight w:val="white"/>
                  </w:rPr>
                  <w:t>FAIRsharing</w:t>
                </w:r>
                <w:proofErr w:type="spellEnd"/>
                <w:r w:rsidR="00140473">
                  <w:rPr>
                    <w:rFonts w:ascii="Arial Unicode MS" w:eastAsia="Arial Unicode MS" w:hAnsi="Arial Unicode MS" w:cs="Arial Unicode MS"/>
                    <w:sz w:val="20"/>
                    <w:szCs w:val="20"/>
                    <w:highlight w:val="white"/>
                  </w:rPr>
                  <w:t>.</w:t>
                </w:r>
              </w:sdtContent>
            </w:sdt>
          </w:p>
        </w:tc>
        <w:tc>
          <w:tcPr>
            <w:tcW w:w="2040" w:type="dxa"/>
            <w:shd w:val="clear" w:color="auto" w:fill="auto"/>
            <w:tcMar>
              <w:top w:w="100" w:type="dxa"/>
              <w:left w:w="100" w:type="dxa"/>
              <w:bottom w:w="100" w:type="dxa"/>
              <w:right w:w="100" w:type="dxa"/>
            </w:tcMar>
          </w:tcPr>
          <w:p w14:paraId="53758461" w14:textId="77777777" w:rsidR="00BC388A" w:rsidRDefault="00140473">
            <w:pPr>
              <w:widowControl w:val="0"/>
              <w:spacing w:after="0" w:line="240" w:lineRule="auto"/>
              <w:jc w:val="left"/>
              <w:rPr>
                <w:b/>
                <w:color w:val="FF9900"/>
              </w:rPr>
            </w:pPr>
            <w:r>
              <w:rPr>
                <w:b/>
                <w:color w:val="FF9900"/>
              </w:rPr>
              <w:t>Important</w:t>
            </w:r>
          </w:p>
        </w:tc>
        <w:tc>
          <w:tcPr>
            <w:tcW w:w="1020" w:type="dxa"/>
            <w:shd w:val="clear" w:color="auto" w:fill="auto"/>
            <w:tcMar>
              <w:top w:w="100" w:type="dxa"/>
              <w:left w:w="100" w:type="dxa"/>
              <w:bottom w:w="100" w:type="dxa"/>
              <w:right w:w="100" w:type="dxa"/>
            </w:tcMar>
          </w:tcPr>
          <w:p w14:paraId="5E6463F7" w14:textId="77777777" w:rsidR="00BC388A" w:rsidRDefault="00140473">
            <w:pPr>
              <w:widowControl w:val="0"/>
              <w:spacing w:after="0" w:line="240" w:lineRule="auto"/>
              <w:jc w:val="left"/>
            </w:pPr>
            <w:r>
              <w:t>TRUE/FALSE</w:t>
            </w:r>
          </w:p>
        </w:tc>
      </w:tr>
      <w:tr w:rsidR="00BC388A" w14:paraId="08491D6F" w14:textId="77777777">
        <w:tc>
          <w:tcPr>
            <w:tcW w:w="5985" w:type="dxa"/>
            <w:shd w:val="clear" w:color="auto" w:fill="auto"/>
            <w:tcMar>
              <w:top w:w="100" w:type="dxa"/>
              <w:left w:w="100" w:type="dxa"/>
              <w:bottom w:w="100" w:type="dxa"/>
              <w:right w:w="100" w:type="dxa"/>
            </w:tcMar>
          </w:tcPr>
          <w:p w14:paraId="7A21D4C5" w14:textId="77777777" w:rsidR="00BC388A" w:rsidRDefault="00140473">
            <w:pPr>
              <w:widowControl w:val="0"/>
              <w:spacing w:after="0" w:line="240" w:lineRule="auto"/>
              <w:jc w:val="left"/>
            </w:pPr>
            <w:r>
              <w:rPr>
                <w:b/>
                <w:color w:val="F07E19"/>
              </w:rPr>
              <w:t>RDA-I1-02M</w:t>
            </w:r>
            <w:r>
              <w:t xml:space="preserve"> Metadata uses machine-understandable knowledge representation.</w:t>
            </w:r>
          </w:p>
          <w:p w14:paraId="7EEC71DD"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54"/>
                <w:id w:val="-1323734554"/>
              </w:sdtPr>
              <w:sdtEndPr/>
              <w:sdtContent>
                <w:r w:rsidR="00140473">
                  <w:rPr>
                    <w:rFonts w:ascii="Arial Unicode MS" w:eastAsia="Arial Unicode MS" w:hAnsi="Arial Unicode MS" w:cs="Arial Unicode MS"/>
                    <w:sz w:val="20"/>
                    <w:szCs w:val="20"/>
                    <w:highlight w:val="white"/>
                  </w:rPr>
                  <w:t>● Principle: I1: (Meta)data use a formal, accessible,  shared,   and   broadly   applicable language   for   knowledge representation.</w:t>
                </w:r>
              </w:sdtContent>
            </w:sdt>
          </w:p>
          <w:p w14:paraId="4FD9257E"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55"/>
                <w:id w:val="-434213035"/>
              </w:sdtPr>
              <w:sdtEndPr/>
              <w:sdtContent>
                <w:r w:rsidR="00140473">
                  <w:rPr>
                    <w:rFonts w:ascii="Arial Unicode MS" w:eastAsia="Arial Unicode MS" w:hAnsi="Arial Unicode MS" w:cs="Arial Unicode MS"/>
                    <w:sz w:val="20"/>
                    <w:szCs w:val="20"/>
                    <w:highlight w:val="white"/>
                  </w:rPr>
                  <w:t>● Description: This  indicator  focuses  on  the  machine-understandability  aspect  of   the metadata. This means that metadata should be readable and thus interoperable for  machines  without  any requirements  such  as  specific  translators  or mappings.</w:t>
                </w:r>
              </w:sdtContent>
            </w:sdt>
          </w:p>
          <w:p w14:paraId="58803680"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56"/>
                <w:id w:val="1542550186"/>
              </w:sdtPr>
              <w:sdtEndPr/>
              <w:sdtContent>
                <w:r w:rsidR="00140473">
                  <w:rPr>
                    <w:rFonts w:ascii="Arial Unicode MS" w:eastAsia="Arial Unicode MS" w:hAnsi="Arial Unicode MS" w:cs="Arial Unicode MS"/>
                    <w:sz w:val="20"/>
                    <w:szCs w:val="20"/>
                    <w:highlight w:val="white"/>
                  </w:rPr>
                  <w:t xml:space="preserve">● Assessment details: This  indicator can be evaluated by looking at the knowledge representation model used for the expression of the metadata. Examples are RDF, OWL, JSON-LD and SKOS. Information about models and formats can be looked up in  a   registry  like  the  RDA-endorsed  </w:t>
                </w:r>
                <w:proofErr w:type="spellStart"/>
                <w:r w:rsidR="00140473">
                  <w:rPr>
                    <w:rFonts w:ascii="Arial Unicode MS" w:eastAsia="Arial Unicode MS" w:hAnsi="Arial Unicode MS" w:cs="Arial Unicode MS"/>
                    <w:sz w:val="20"/>
                    <w:szCs w:val="20"/>
                    <w:highlight w:val="white"/>
                  </w:rPr>
                  <w:t>FAIRsharing</w:t>
                </w:r>
                <w:proofErr w:type="spellEnd"/>
                <w:r w:rsidR="00140473">
                  <w:rPr>
                    <w:rFonts w:ascii="Arial Unicode MS" w:eastAsia="Arial Unicode MS" w:hAnsi="Arial Unicode MS" w:cs="Arial Unicode MS"/>
                    <w:sz w:val="20"/>
                    <w:szCs w:val="20"/>
                    <w:highlight w:val="white"/>
                  </w:rPr>
                  <w:t xml:space="preserve">  (see  for  example  : https://fairsharing.org/standards/?q=&amp;selected_facets=type_exact:model/format)</w:t>
                </w:r>
              </w:sdtContent>
            </w:sdt>
          </w:p>
        </w:tc>
        <w:tc>
          <w:tcPr>
            <w:tcW w:w="2040" w:type="dxa"/>
            <w:shd w:val="clear" w:color="auto" w:fill="auto"/>
            <w:tcMar>
              <w:top w:w="100" w:type="dxa"/>
              <w:left w:w="100" w:type="dxa"/>
              <w:bottom w:w="100" w:type="dxa"/>
              <w:right w:w="100" w:type="dxa"/>
            </w:tcMar>
          </w:tcPr>
          <w:p w14:paraId="49B7C3A3" w14:textId="77777777" w:rsidR="00BC388A" w:rsidRDefault="00140473">
            <w:pPr>
              <w:widowControl w:val="0"/>
              <w:spacing w:after="0" w:line="240" w:lineRule="auto"/>
              <w:jc w:val="left"/>
              <w:rPr>
                <w:b/>
                <w:color w:val="FF9900"/>
              </w:rPr>
            </w:pPr>
            <w:r>
              <w:rPr>
                <w:b/>
                <w:color w:val="FF9900"/>
              </w:rPr>
              <w:t>Important</w:t>
            </w:r>
          </w:p>
        </w:tc>
        <w:tc>
          <w:tcPr>
            <w:tcW w:w="1020" w:type="dxa"/>
            <w:shd w:val="clear" w:color="auto" w:fill="auto"/>
            <w:tcMar>
              <w:top w:w="100" w:type="dxa"/>
              <w:left w:w="100" w:type="dxa"/>
              <w:bottom w:w="100" w:type="dxa"/>
              <w:right w:w="100" w:type="dxa"/>
            </w:tcMar>
          </w:tcPr>
          <w:p w14:paraId="29D916B6" w14:textId="77777777" w:rsidR="00BC388A" w:rsidRDefault="00140473">
            <w:pPr>
              <w:widowControl w:val="0"/>
              <w:spacing w:after="0" w:line="240" w:lineRule="auto"/>
              <w:jc w:val="left"/>
            </w:pPr>
            <w:r>
              <w:t>TRUE/FALSE</w:t>
            </w:r>
          </w:p>
        </w:tc>
      </w:tr>
      <w:tr w:rsidR="00BC388A" w14:paraId="52CE81FB" w14:textId="77777777">
        <w:tc>
          <w:tcPr>
            <w:tcW w:w="5985" w:type="dxa"/>
            <w:shd w:val="clear" w:color="auto" w:fill="auto"/>
            <w:tcMar>
              <w:top w:w="100" w:type="dxa"/>
              <w:left w:w="100" w:type="dxa"/>
              <w:bottom w:w="100" w:type="dxa"/>
              <w:right w:w="100" w:type="dxa"/>
            </w:tcMar>
          </w:tcPr>
          <w:p w14:paraId="77FAF294" w14:textId="77777777" w:rsidR="00BC388A" w:rsidRDefault="00140473">
            <w:pPr>
              <w:widowControl w:val="0"/>
              <w:spacing w:after="0" w:line="240" w:lineRule="auto"/>
              <w:jc w:val="left"/>
            </w:pPr>
            <w:r>
              <w:rPr>
                <w:b/>
                <w:color w:val="F07E19"/>
              </w:rPr>
              <w:t>RDA-I1-02D</w:t>
            </w:r>
            <w:r>
              <w:t xml:space="preserve"> Data uses machine-understandable </w:t>
            </w:r>
            <w:r>
              <w:lastRenderedPageBreak/>
              <w:t>knowledge representation.</w:t>
            </w:r>
          </w:p>
          <w:p w14:paraId="71390E00"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57"/>
                <w:id w:val="729727856"/>
              </w:sdtPr>
              <w:sdtEndPr/>
              <w:sdtContent>
                <w:r w:rsidR="00140473">
                  <w:rPr>
                    <w:rFonts w:ascii="Arial Unicode MS" w:eastAsia="Arial Unicode MS" w:hAnsi="Arial Unicode MS" w:cs="Arial Unicode MS"/>
                    <w:sz w:val="20"/>
                    <w:szCs w:val="20"/>
                    <w:highlight w:val="white"/>
                  </w:rPr>
                  <w:t>● Principle:  I1: (Meta)data use a formal, accessible,  shared,   and   broadly   applicable language   for   knowledge representation.</w:t>
                </w:r>
              </w:sdtContent>
            </w:sdt>
          </w:p>
          <w:p w14:paraId="34DB081E"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58"/>
                <w:id w:val="268447385"/>
              </w:sdtPr>
              <w:sdtEndPr/>
              <w:sdtContent>
                <w:r w:rsidR="00140473">
                  <w:rPr>
                    <w:rFonts w:ascii="Arial Unicode MS" w:eastAsia="Arial Unicode MS" w:hAnsi="Arial Unicode MS" w:cs="Arial Unicode MS"/>
                    <w:sz w:val="20"/>
                    <w:szCs w:val="20"/>
                    <w:highlight w:val="white"/>
                  </w:rPr>
                  <w:t>● Description: This  indicator  focuses  on  the  machine-understandability  aspect  of   the metadata. This means that metadata should be readable and thus interoperable for  machines  without  any requirements  such  as  specific  translators  or mappings.</w:t>
                </w:r>
              </w:sdtContent>
            </w:sdt>
          </w:p>
          <w:p w14:paraId="51D332F3"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59"/>
                <w:id w:val="78953548"/>
              </w:sdtPr>
              <w:sdtEndPr/>
              <w:sdtContent>
                <w:r w:rsidR="00140473">
                  <w:rPr>
                    <w:rFonts w:ascii="Arial Unicode MS" w:eastAsia="Arial Unicode MS" w:hAnsi="Arial Unicode MS" w:cs="Arial Unicode MS"/>
                    <w:sz w:val="20"/>
                    <w:szCs w:val="20"/>
                    <w:highlight w:val="white"/>
                  </w:rPr>
                  <w:t xml:space="preserve">● Assessment details: This  indicator can be evaluated by looking at the knowledge representation model used for the expression of the metadata. Examples are RDF, OWL, JSON-LD and SKOS. Information about models and formats can be looked up in  a   registry  like  the  RDA-endorsed  </w:t>
                </w:r>
                <w:proofErr w:type="spellStart"/>
                <w:r w:rsidR="00140473">
                  <w:rPr>
                    <w:rFonts w:ascii="Arial Unicode MS" w:eastAsia="Arial Unicode MS" w:hAnsi="Arial Unicode MS" w:cs="Arial Unicode MS"/>
                    <w:sz w:val="20"/>
                    <w:szCs w:val="20"/>
                    <w:highlight w:val="white"/>
                  </w:rPr>
                  <w:t>FAIRsharing</w:t>
                </w:r>
                <w:proofErr w:type="spellEnd"/>
                <w:r w:rsidR="00140473">
                  <w:rPr>
                    <w:rFonts w:ascii="Arial Unicode MS" w:eastAsia="Arial Unicode MS" w:hAnsi="Arial Unicode MS" w:cs="Arial Unicode MS"/>
                    <w:sz w:val="20"/>
                    <w:szCs w:val="20"/>
                    <w:highlight w:val="white"/>
                  </w:rPr>
                  <w:t xml:space="preserve">  (see  for  example  : https://fairsharing.org/standards/?q=&amp;selected_facets=type_exact:model/format).</w:t>
                </w:r>
              </w:sdtContent>
            </w:sdt>
          </w:p>
        </w:tc>
        <w:tc>
          <w:tcPr>
            <w:tcW w:w="2040" w:type="dxa"/>
            <w:shd w:val="clear" w:color="auto" w:fill="auto"/>
            <w:tcMar>
              <w:top w:w="100" w:type="dxa"/>
              <w:left w:w="100" w:type="dxa"/>
              <w:bottom w:w="100" w:type="dxa"/>
              <w:right w:w="100" w:type="dxa"/>
            </w:tcMar>
          </w:tcPr>
          <w:p w14:paraId="2E567C21" w14:textId="77777777" w:rsidR="00BC388A" w:rsidRDefault="00140473">
            <w:pPr>
              <w:widowControl w:val="0"/>
              <w:spacing w:after="0" w:line="240" w:lineRule="auto"/>
              <w:jc w:val="left"/>
              <w:rPr>
                <w:b/>
                <w:color w:val="FF9900"/>
              </w:rPr>
            </w:pPr>
            <w:r>
              <w:rPr>
                <w:b/>
                <w:color w:val="FF9900"/>
              </w:rPr>
              <w:lastRenderedPageBreak/>
              <w:t>Important</w:t>
            </w:r>
          </w:p>
        </w:tc>
        <w:tc>
          <w:tcPr>
            <w:tcW w:w="1020" w:type="dxa"/>
            <w:shd w:val="clear" w:color="auto" w:fill="auto"/>
            <w:tcMar>
              <w:top w:w="100" w:type="dxa"/>
              <w:left w:w="100" w:type="dxa"/>
              <w:bottom w:w="100" w:type="dxa"/>
              <w:right w:w="100" w:type="dxa"/>
            </w:tcMar>
          </w:tcPr>
          <w:p w14:paraId="46E4CE63" w14:textId="77777777" w:rsidR="00BC388A" w:rsidRDefault="00140473">
            <w:pPr>
              <w:widowControl w:val="0"/>
              <w:spacing w:after="0" w:line="240" w:lineRule="auto"/>
              <w:jc w:val="left"/>
            </w:pPr>
            <w:r>
              <w:t>TRUE/F</w:t>
            </w:r>
            <w:r>
              <w:lastRenderedPageBreak/>
              <w:t>ALSE</w:t>
            </w:r>
          </w:p>
        </w:tc>
      </w:tr>
      <w:tr w:rsidR="00BC388A" w14:paraId="510F2619" w14:textId="77777777">
        <w:tc>
          <w:tcPr>
            <w:tcW w:w="5985" w:type="dxa"/>
            <w:shd w:val="clear" w:color="auto" w:fill="auto"/>
            <w:tcMar>
              <w:top w:w="100" w:type="dxa"/>
              <w:left w:w="100" w:type="dxa"/>
              <w:bottom w:w="100" w:type="dxa"/>
              <w:right w:w="100" w:type="dxa"/>
            </w:tcMar>
          </w:tcPr>
          <w:p w14:paraId="575D681A" w14:textId="77777777" w:rsidR="00BC388A" w:rsidRDefault="00140473">
            <w:pPr>
              <w:widowControl w:val="0"/>
              <w:spacing w:after="0" w:line="240" w:lineRule="auto"/>
              <w:jc w:val="left"/>
            </w:pPr>
            <w:r>
              <w:rPr>
                <w:b/>
                <w:color w:val="F07E19"/>
              </w:rPr>
              <w:lastRenderedPageBreak/>
              <w:t>RDA-I2-01M</w:t>
            </w:r>
            <w:r>
              <w:t xml:space="preserve"> Metadata uses FAIR-compliant vocabularies.</w:t>
            </w:r>
          </w:p>
          <w:p w14:paraId="356F9931"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60"/>
                <w:id w:val="667983159"/>
              </w:sdtPr>
              <w:sdtEndPr/>
              <w:sdtContent>
                <w:r w:rsidR="00140473">
                  <w:rPr>
                    <w:rFonts w:ascii="Arial Unicode MS" w:eastAsia="Arial Unicode MS" w:hAnsi="Arial Unicode MS" w:cs="Arial Unicode MS"/>
                    <w:sz w:val="20"/>
                    <w:szCs w:val="20"/>
                    <w:highlight w:val="white"/>
                  </w:rPr>
                  <w:t>● Principle: : I2: (Meta)data use vocabularies that follow the FAIR principles</w:t>
                </w:r>
              </w:sdtContent>
            </w:sdt>
          </w:p>
          <w:p w14:paraId="1554CE49"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61"/>
                <w:id w:val="-1637793886"/>
              </w:sdtPr>
              <w:sdtEndPr/>
              <w:sdtContent>
                <w:r w:rsidR="00140473">
                  <w:rPr>
                    <w:rFonts w:ascii="Arial Unicode MS" w:eastAsia="Arial Unicode MS" w:hAnsi="Arial Unicode MS" w:cs="Arial Unicode MS"/>
                    <w:sz w:val="20"/>
                    <w:szCs w:val="20"/>
                    <w:highlight w:val="white"/>
                  </w:rPr>
                  <w:t>● Description: The indicator requires the vocabulary used for the metadata to conform to the FAIR  principles, and at least be  documented and resolvable using globally unique  and  persistent  identifiers.  The  documentation  needs  to  be  easily findable and accessible.</w:t>
                </w:r>
              </w:sdtContent>
            </w:sdt>
          </w:p>
          <w:p w14:paraId="717A860E"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62"/>
                <w:id w:val="-2100394028"/>
              </w:sdtPr>
              <w:sdtEndPr/>
              <w:sdtContent>
                <w:r w:rsidR="00140473">
                  <w:rPr>
                    <w:rFonts w:ascii="Arial Unicode MS" w:eastAsia="Arial Unicode MS" w:hAnsi="Arial Unicode MS" w:cs="Arial Unicode MS"/>
                    <w:sz w:val="20"/>
                    <w:szCs w:val="20"/>
                    <w:highlight w:val="white"/>
                  </w:rPr>
                  <w:t>● Assessment details: The indicator can be evaluated by verifying that each of the vocabularies used in  the  metadata is  documented and  resolvable using  globally unique  and persistent  identifiers,  with  the  documentation  being  easily  findable  and accessible. Typically, the reference to the specification of the vocabularies used will be included in the documentation of the digital object or the repository where it is kept.</w:t>
                </w:r>
              </w:sdtContent>
            </w:sdt>
          </w:p>
        </w:tc>
        <w:tc>
          <w:tcPr>
            <w:tcW w:w="2040" w:type="dxa"/>
            <w:shd w:val="clear" w:color="auto" w:fill="auto"/>
            <w:tcMar>
              <w:top w:w="100" w:type="dxa"/>
              <w:left w:w="100" w:type="dxa"/>
              <w:bottom w:w="100" w:type="dxa"/>
              <w:right w:w="100" w:type="dxa"/>
            </w:tcMar>
          </w:tcPr>
          <w:p w14:paraId="0475C87E" w14:textId="77777777" w:rsidR="00BC388A" w:rsidRDefault="00140473">
            <w:pPr>
              <w:widowControl w:val="0"/>
              <w:spacing w:after="0" w:line="240" w:lineRule="auto"/>
              <w:jc w:val="left"/>
              <w:rPr>
                <w:b/>
                <w:color w:val="FF9900"/>
              </w:rPr>
            </w:pPr>
            <w:r>
              <w:rPr>
                <w:b/>
                <w:color w:val="FF9900"/>
              </w:rPr>
              <w:t>Important</w:t>
            </w:r>
          </w:p>
        </w:tc>
        <w:tc>
          <w:tcPr>
            <w:tcW w:w="1020" w:type="dxa"/>
            <w:shd w:val="clear" w:color="auto" w:fill="auto"/>
            <w:tcMar>
              <w:top w:w="100" w:type="dxa"/>
              <w:left w:w="100" w:type="dxa"/>
              <w:bottom w:w="100" w:type="dxa"/>
              <w:right w:w="100" w:type="dxa"/>
            </w:tcMar>
          </w:tcPr>
          <w:p w14:paraId="35993190" w14:textId="77777777" w:rsidR="00BC388A" w:rsidRDefault="00140473">
            <w:pPr>
              <w:widowControl w:val="0"/>
              <w:spacing w:after="0" w:line="240" w:lineRule="auto"/>
              <w:jc w:val="left"/>
            </w:pPr>
            <w:r>
              <w:t>TRUE/FALSE</w:t>
            </w:r>
          </w:p>
        </w:tc>
      </w:tr>
      <w:tr w:rsidR="00BC388A" w14:paraId="21BC4137" w14:textId="77777777">
        <w:tc>
          <w:tcPr>
            <w:tcW w:w="5985" w:type="dxa"/>
            <w:shd w:val="clear" w:color="auto" w:fill="auto"/>
            <w:tcMar>
              <w:top w:w="100" w:type="dxa"/>
              <w:left w:w="100" w:type="dxa"/>
              <w:bottom w:w="100" w:type="dxa"/>
              <w:right w:w="100" w:type="dxa"/>
            </w:tcMar>
          </w:tcPr>
          <w:p w14:paraId="4D355D2E" w14:textId="77777777" w:rsidR="00BC388A" w:rsidRDefault="00140473">
            <w:pPr>
              <w:widowControl w:val="0"/>
              <w:spacing w:after="0" w:line="240" w:lineRule="auto"/>
              <w:jc w:val="left"/>
            </w:pPr>
            <w:r>
              <w:rPr>
                <w:b/>
                <w:color w:val="0000FF"/>
              </w:rPr>
              <w:t>RDA-I2-01D</w:t>
            </w:r>
            <w:r>
              <w:t xml:space="preserve"> Data uses FAIR-compliant vocabularies.</w:t>
            </w:r>
          </w:p>
          <w:p w14:paraId="13448E39"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63"/>
                <w:id w:val="801502037"/>
              </w:sdtPr>
              <w:sdtEndPr/>
              <w:sdtContent>
                <w:r w:rsidR="00140473">
                  <w:rPr>
                    <w:rFonts w:ascii="Arial Unicode MS" w:eastAsia="Arial Unicode MS" w:hAnsi="Arial Unicode MS" w:cs="Arial Unicode MS"/>
                    <w:sz w:val="20"/>
                    <w:szCs w:val="20"/>
                    <w:highlight w:val="white"/>
                  </w:rPr>
                  <w:t>● Principle:  I2: (Meta)data use vocabularies that follow the FAIR principles.</w:t>
                </w:r>
              </w:sdtContent>
            </w:sdt>
          </w:p>
          <w:p w14:paraId="4810D262"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64"/>
                <w:id w:val="1962603174"/>
              </w:sdtPr>
              <w:sdtEndPr/>
              <w:sdtContent>
                <w:r w:rsidR="00140473">
                  <w:rPr>
                    <w:rFonts w:ascii="Arial Unicode MS" w:eastAsia="Arial Unicode MS" w:hAnsi="Arial Unicode MS" w:cs="Arial Unicode MS"/>
                    <w:sz w:val="20"/>
                    <w:szCs w:val="20"/>
                    <w:highlight w:val="white"/>
                  </w:rPr>
                  <w:t>● Description: The indicator requires the controlled vocabulary used for the data to conform to the FAIR principles, and at least be documented and resolvable using globally unique and persistent  identifiers.  The  documentation  needs  to  be  easily findable and accessible.</w:t>
                </w:r>
              </w:sdtContent>
            </w:sdt>
          </w:p>
          <w:p w14:paraId="4863E3DA"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65"/>
                <w:id w:val="1133679354"/>
              </w:sdtPr>
              <w:sdtEndPr/>
              <w:sdtContent>
                <w:r w:rsidR="00140473">
                  <w:rPr>
                    <w:rFonts w:ascii="Arial Unicode MS" w:eastAsia="Arial Unicode MS" w:hAnsi="Arial Unicode MS" w:cs="Arial Unicode MS"/>
                    <w:sz w:val="20"/>
                    <w:szCs w:val="20"/>
                    <w:highlight w:val="white"/>
                  </w:rPr>
                  <w:t>● Assessment details: The indicator can be evaluated by verifying that each of the vocabularies used in the data is documented and resolvable using globally unique and persistent identifiers, with the  documentation  being  easily  findable  and  accessible. Typically, the reference to the specification of the vocabularies used will be included in the documentation of the digital object or the repository where it is kept.</w:t>
                </w:r>
              </w:sdtContent>
            </w:sdt>
          </w:p>
        </w:tc>
        <w:tc>
          <w:tcPr>
            <w:tcW w:w="2040" w:type="dxa"/>
            <w:shd w:val="clear" w:color="auto" w:fill="auto"/>
            <w:tcMar>
              <w:top w:w="100" w:type="dxa"/>
              <w:left w:w="100" w:type="dxa"/>
              <w:bottom w:w="100" w:type="dxa"/>
              <w:right w:w="100" w:type="dxa"/>
            </w:tcMar>
          </w:tcPr>
          <w:p w14:paraId="3B28EB67" w14:textId="77777777" w:rsidR="00BC388A" w:rsidRDefault="00140473">
            <w:pPr>
              <w:widowControl w:val="0"/>
              <w:spacing w:after="0" w:line="240" w:lineRule="auto"/>
              <w:jc w:val="left"/>
              <w:rPr>
                <w:b/>
              </w:rPr>
            </w:pPr>
            <w:r>
              <w:rPr>
                <w:b/>
                <w:color w:val="0000FF"/>
              </w:rPr>
              <w:t>Useful</w:t>
            </w:r>
          </w:p>
        </w:tc>
        <w:tc>
          <w:tcPr>
            <w:tcW w:w="1020" w:type="dxa"/>
            <w:shd w:val="clear" w:color="auto" w:fill="auto"/>
            <w:tcMar>
              <w:top w:w="100" w:type="dxa"/>
              <w:left w:w="100" w:type="dxa"/>
              <w:bottom w:w="100" w:type="dxa"/>
              <w:right w:w="100" w:type="dxa"/>
            </w:tcMar>
          </w:tcPr>
          <w:p w14:paraId="2BDB93A7" w14:textId="77777777" w:rsidR="00BC388A" w:rsidRDefault="00140473">
            <w:pPr>
              <w:widowControl w:val="0"/>
              <w:spacing w:after="0" w:line="240" w:lineRule="auto"/>
              <w:jc w:val="left"/>
            </w:pPr>
            <w:r>
              <w:t>TRUE/FALSE</w:t>
            </w:r>
          </w:p>
        </w:tc>
      </w:tr>
      <w:tr w:rsidR="00BC388A" w14:paraId="2A4E6B88" w14:textId="77777777">
        <w:tc>
          <w:tcPr>
            <w:tcW w:w="5985" w:type="dxa"/>
            <w:shd w:val="clear" w:color="auto" w:fill="auto"/>
            <w:tcMar>
              <w:top w:w="100" w:type="dxa"/>
              <w:left w:w="100" w:type="dxa"/>
              <w:bottom w:w="100" w:type="dxa"/>
              <w:right w:w="100" w:type="dxa"/>
            </w:tcMar>
          </w:tcPr>
          <w:p w14:paraId="4E1EA2C3" w14:textId="77777777" w:rsidR="00BC388A" w:rsidRDefault="00140473">
            <w:pPr>
              <w:widowControl w:val="0"/>
              <w:spacing w:after="0" w:line="240" w:lineRule="auto"/>
              <w:jc w:val="left"/>
            </w:pPr>
            <w:r>
              <w:rPr>
                <w:b/>
                <w:color w:val="F07E19"/>
              </w:rPr>
              <w:t>RDA-I3-01M</w:t>
            </w:r>
            <w:r>
              <w:t xml:space="preserve"> Metadata includes references to other metadata.</w:t>
            </w:r>
          </w:p>
          <w:p w14:paraId="0856ED22"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66"/>
                <w:id w:val="-546380372"/>
              </w:sdtPr>
              <w:sdtEndPr/>
              <w:sdtContent>
                <w:r w:rsidR="00140473">
                  <w:rPr>
                    <w:rFonts w:ascii="Arial Unicode MS" w:eastAsia="Arial Unicode MS" w:hAnsi="Arial Unicode MS" w:cs="Arial Unicode MS"/>
                    <w:sz w:val="20"/>
                    <w:szCs w:val="20"/>
                    <w:highlight w:val="white"/>
                  </w:rPr>
                  <w:t>● Principle: I3: (Meta)data include qualified references to other (meta)data.</w:t>
                </w:r>
              </w:sdtContent>
            </w:sdt>
          </w:p>
          <w:p w14:paraId="09D3E01C"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67"/>
                <w:id w:val="1869947879"/>
              </w:sdtPr>
              <w:sdtEndPr/>
              <w:sdtContent>
                <w:r w:rsidR="00140473">
                  <w:rPr>
                    <w:rFonts w:ascii="Arial Unicode MS" w:eastAsia="Arial Unicode MS" w:hAnsi="Arial Unicode MS" w:cs="Arial Unicode MS"/>
                    <w:sz w:val="20"/>
                    <w:szCs w:val="20"/>
                    <w:highlight w:val="white"/>
                  </w:rPr>
                  <w:t>● Description: The  indicator is about the way that metadata is connected to other metadata, for example through links to information about organisations, people, places, projects or time periods that are related to the digital object that the metadata describes.</w:t>
                </w:r>
              </w:sdtContent>
            </w:sdt>
          </w:p>
          <w:p w14:paraId="204952D6"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68"/>
                <w:id w:val="-1676866963"/>
              </w:sdtPr>
              <w:sdtEndPr/>
              <w:sdtContent>
                <w:r w:rsidR="00140473">
                  <w:rPr>
                    <w:rFonts w:ascii="Arial Unicode MS" w:eastAsia="Arial Unicode MS" w:hAnsi="Arial Unicode MS" w:cs="Arial Unicode MS"/>
                    <w:sz w:val="20"/>
                    <w:szCs w:val="20"/>
                    <w:highlight w:val="white"/>
                  </w:rPr>
                  <w:t xml:space="preserve">● Assessment details: The indicator can be evaluated by looking at the occurrence of references to other metadata, for example ORCID for people or </w:t>
                </w:r>
                <w:proofErr w:type="spellStart"/>
                <w:r w:rsidR="00140473">
                  <w:rPr>
                    <w:rFonts w:ascii="Arial Unicode MS" w:eastAsia="Arial Unicode MS" w:hAnsi="Arial Unicode MS" w:cs="Arial Unicode MS"/>
                    <w:sz w:val="20"/>
                    <w:szCs w:val="20"/>
                    <w:highlight w:val="white"/>
                  </w:rPr>
                  <w:t>Geonames</w:t>
                </w:r>
                <w:proofErr w:type="spellEnd"/>
                <w:r w:rsidR="00140473">
                  <w:rPr>
                    <w:rFonts w:ascii="Arial Unicode MS" w:eastAsia="Arial Unicode MS" w:hAnsi="Arial Unicode MS" w:cs="Arial Unicode MS"/>
                    <w:sz w:val="20"/>
                    <w:szCs w:val="20"/>
                    <w:highlight w:val="white"/>
                  </w:rPr>
                  <w:t xml:space="preserve"> for places.</w:t>
                </w:r>
              </w:sdtContent>
            </w:sdt>
          </w:p>
        </w:tc>
        <w:tc>
          <w:tcPr>
            <w:tcW w:w="2040" w:type="dxa"/>
            <w:shd w:val="clear" w:color="auto" w:fill="auto"/>
            <w:tcMar>
              <w:top w:w="100" w:type="dxa"/>
              <w:left w:w="100" w:type="dxa"/>
              <w:bottom w:w="100" w:type="dxa"/>
              <w:right w:w="100" w:type="dxa"/>
            </w:tcMar>
          </w:tcPr>
          <w:p w14:paraId="37FBAC37" w14:textId="77777777" w:rsidR="00BC388A" w:rsidRDefault="00140473">
            <w:pPr>
              <w:widowControl w:val="0"/>
              <w:spacing w:after="0" w:line="240" w:lineRule="auto"/>
              <w:jc w:val="left"/>
              <w:rPr>
                <w:b/>
                <w:color w:val="FF9900"/>
              </w:rPr>
            </w:pPr>
            <w:r>
              <w:rPr>
                <w:b/>
                <w:color w:val="FF9900"/>
              </w:rPr>
              <w:lastRenderedPageBreak/>
              <w:t>Important</w:t>
            </w:r>
          </w:p>
        </w:tc>
        <w:tc>
          <w:tcPr>
            <w:tcW w:w="1020" w:type="dxa"/>
            <w:shd w:val="clear" w:color="auto" w:fill="auto"/>
            <w:tcMar>
              <w:top w:w="100" w:type="dxa"/>
              <w:left w:w="100" w:type="dxa"/>
              <w:bottom w:w="100" w:type="dxa"/>
              <w:right w:w="100" w:type="dxa"/>
            </w:tcMar>
          </w:tcPr>
          <w:p w14:paraId="4D0A96F7" w14:textId="77777777" w:rsidR="00BC388A" w:rsidRDefault="00140473">
            <w:pPr>
              <w:widowControl w:val="0"/>
              <w:spacing w:after="0" w:line="240" w:lineRule="auto"/>
              <w:jc w:val="left"/>
            </w:pPr>
            <w:r>
              <w:t>TRUE/FALSE</w:t>
            </w:r>
          </w:p>
        </w:tc>
      </w:tr>
      <w:tr w:rsidR="00BC388A" w14:paraId="6FA2BE2E" w14:textId="77777777">
        <w:tc>
          <w:tcPr>
            <w:tcW w:w="5985" w:type="dxa"/>
            <w:shd w:val="clear" w:color="auto" w:fill="auto"/>
            <w:tcMar>
              <w:top w:w="100" w:type="dxa"/>
              <w:left w:w="100" w:type="dxa"/>
              <w:bottom w:w="100" w:type="dxa"/>
              <w:right w:w="100" w:type="dxa"/>
            </w:tcMar>
          </w:tcPr>
          <w:p w14:paraId="1D80062B" w14:textId="77777777" w:rsidR="00BC388A" w:rsidRDefault="00140473">
            <w:pPr>
              <w:widowControl w:val="0"/>
              <w:spacing w:after="0" w:line="240" w:lineRule="auto"/>
              <w:jc w:val="left"/>
            </w:pPr>
            <w:r>
              <w:rPr>
                <w:b/>
                <w:color w:val="0000FF"/>
              </w:rPr>
              <w:t>RDA-I3-01D</w:t>
            </w:r>
            <w:r>
              <w:t xml:space="preserve"> Data includes references to other data.</w:t>
            </w:r>
          </w:p>
          <w:p w14:paraId="53795738"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69"/>
                <w:id w:val="911273262"/>
              </w:sdtPr>
              <w:sdtEndPr/>
              <w:sdtContent>
                <w:r w:rsidR="00140473">
                  <w:rPr>
                    <w:rFonts w:ascii="Arial Unicode MS" w:eastAsia="Arial Unicode MS" w:hAnsi="Arial Unicode MS" w:cs="Arial Unicode MS"/>
                    <w:sz w:val="20"/>
                    <w:szCs w:val="20"/>
                    <w:highlight w:val="white"/>
                  </w:rPr>
                  <w:t>● Principle:  I3: (Meta)data include qualified references to other (meta)data</w:t>
                </w:r>
              </w:sdtContent>
            </w:sdt>
          </w:p>
          <w:p w14:paraId="7113D0A3"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70"/>
                <w:id w:val="1767415152"/>
              </w:sdtPr>
              <w:sdtEndPr/>
              <w:sdtContent>
                <w:r w:rsidR="00140473">
                  <w:rPr>
                    <w:rFonts w:ascii="Arial Unicode MS" w:eastAsia="Arial Unicode MS" w:hAnsi="Arial Unicode MS" w:cs="Arial Unicode MS"/>
                    <w:sz w:val="20"/>
                    <w:szCs w:val="20"/>
                    <w:highlight w:val="white"/>
                  </w:rPr>
                  <w:t>● Description: This indicator is about the way data is connected to other data, for example linking to previous or related research data that provides additional context to the data.</w:t>
                </w:r>
              </w:sdtContent>
            </w:sdt>
          </w:p>
          <w:p w14:paraId="2038007E"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71"/>
                <w:id w:val="844746893"/>
              </w:sdtPr>
              <w:sdtEndPr/>
              <w:sdtContent>
                <w:r w:rsidR="00140473">
                  <w:rPr>
                    <w:rFonts w:ascii="Arial Unicode MS" w:eastAsia="Arial Unicode MS" w:hAnsi="Arial Unicode MS" w:cs="Arial Unicode MS"/>
                    <w:sz w:val="20"/>
                    <w:szCs w:val="20"/>
                    <w:highlight w:val="white"/>
                  </w:rPr>
                  <w:t xml:space="preserve">● Assessment details: The indicator can be evaluated by looking at the presence of references to other data in the data. For example, there may be links to other resources in cells in a spreadsheet, or in </w:t>
                </w:r>
              </w:sdtContent>
            </w:sdt>
          </w:p>
          <w:p w14:paraId="1F779E3E" w14:textId="77777777" w:rsidR="00BC388A" w:rsidRDefault="00140473">
            <w:pPr>
              <w:widowControl w:val="0"/>
              <w:spacing w:after="0" w:line="240" w:lineRule="auto"/>
              <w:jc w:val="left"/>
              <w:rPr>
                <w:rFonts w:ascii="Roboto" w:eastAsia="Roboto" w:hAnsi="Roboto" w:cs="Roboto"/>
                <w:sz w:val="20"/>
                <w:szCs w:val="20"/>
                <w:highlight w:val="white"/>
              </w:rPr>
            </w:pPr>
            <w:r>
              <w:rPr>
                <w:rFonts w:ascii="Roboto" w:eastAsia="Roboto" w:hAnsi="Roboto" w:cs="Roboto"/>
                <w:sz w:val="20"/>
                <w:szCs w:val="20"/>
                <w:highlight w:val="white"/>
              </w:rPr>
              <w:t xml:space="preserve"> RDF-based data.</w:t>
            </w:r>
          </w:p>
        </w:tc>
        <w:tc>
          <w:tcPr>
            <w:tcW w:w="2040" w:type="dxa"/>
            <w:shd w:val="clear" w:color="auto" w:fill="auto"/>
            <w:tcMar>
              <w:top w:w="100" w:type="dxa"/>
              <w:left w:w="100" w:type="dxa"/>
              <w:bottom w:w="100" w:type="dxa"/>
              <w:right w:w="100" w:type="dxa"/>
            </w:tcMar>
          </w:tcPr>
          <w:p w14:paraId="4AFE7A67" w14:textId="77777777" w:rsidR="00BC388A" w:rsidRDefault="00140473">
            <w:pPr>
              <w:widowControl w:val="0"/>
              <w:spacing w:after="0" w:line="240" w:lineRule="auto"/>
              <w:jc w:val="left"/>
              <w:rPr>
                <w:b/>
                <w:color w:val="274E13"/>
              </w:rPr>
            </w:pPr>
            <w:r>
              <w:rPr>
                <w:b/>
                <w:color w:val="0000FF"/>
              </w:rPr>
              <w:t>Useful</w:t>
            </w:r>
          </w:p>
        </w:tc>
        <w:tc>
          <w:tcPr>
            <w:tcW w:w="1020" w:type="dxa"/>
            <w:shd w:val="clear" w:color="auto" w:fill="auto"/>
            <w:tcMar>
              <w:top w:w="100" w:type="dxa"/>
              <w:left w:w="100" w:type="dxa"/>
              <w:bottom w:w="100" w:type="dxa"/>
              <w:right w:w="100" w:type="dxa"/>
            </w:tcMar>
          </w:tcPr>
          <w:p w14:paraId="1FAA9F01" w14:textId="77777777" w:rsidR="00BC388A" w:rsidRDefault="00140473">
            <w:pPr>
              <w:widowControl w:val="0"/>
              <w:spacing w:after="0" w:line="240" w:lineRule="auto"/>
              <w:jc w:val="left"/>
            </w:pPr>
            <w:r>
              <w:t>TRUE/FALSE</w:t>
            </w:r>
          </w:p>
        </w:tc>
      </w:tr>
      <w:tr w:rsidR="00BC388A" w14:paraId="546BDE22" w14:textId="77777777">
        <w:tc>
          <w:tcPr>
            <w:tcW w:w="5985" w:type="dxa"/>
            <w:shd w:val="clear" w:color="auto" w:fill="auto"/>
            <w:tcMar>
              <w:top w:w="100" w:type="dxa"/>
              <w:left w:w="100" w:type="dxa"/>
              <w:bottom w:w="100" w:type="dxa"/>
              <w:right w:w="100" w:type="dxa"/>
            </w:tcMar>
          </w:tcPr>
          <w:p w14:paraId="5166DC3A" w14:textId="77777777" w:rsidR="00BC388A" w:rsidRDefault="00140473">
            <w:pPr>
              <w:widowControl w:val="0"/>
              <w:spacing w:after="0" w:line="240" w:lineRule="auto"/>
              <w:jc w:val="left"/>
            </w:pPr>
            <w:r>
              <w:rPr>
                <w:b/>
                <w:color w:val="0000FF"/>
              </w:rPr>
              <w:t>RDA-I3-02M</w:t>
            </w:r>
            <w:r>
              <w:t xml:space="preserve"> Metadata includes references to other data.</w:t>
            </w:r>
          </w:p>
          <w:p w14:paraId="721B7E1A"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72"/>
                <w:id w:val="603857768"/>
              </w:sdtPr>
              <w:sdtEndPr/>
              <w:sdtContent>
                <w:r w:rsidR="00140473">
                  <w:rPr>
                    <w:rFonts w:ascii="Arial Unicode MS" w:eastAsia="Arial Unicode MS" w:hAnsi="Arial Unicode MS" w:cs="Arial Unicode MS"/>
                    <w:sz w:val="20"/>
                    <w:szCs w:val="20"/>
                    <w:highlight w:val="white"/>
                  </w:rPr>
                  <w:t xml:space="preserve">● Principle:  I3: (Meta)data include qualified references to other (meta)data. </w:t>
                </w:r>
              </w:sdtContent>
            </w:sdt>
          </w:p>
          <w:p w14:paraId="23C18DE7"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73"/>
                <w:id w:val="-1564094662"/>
              </w:sdtPr>
              <w:sdtEndPr/>
              <w:sdtContent>
                <w:r w:rsidR="00140473">
                  <w:rPr>
                    <w:rFonts w:ascii="Arial Unicode MS" w:eastAsia="Arial Unicode MS" w:hAnsi="Arial Unicode MS" w:cs="Arial Unicode MS"/>
                    <w:sz w:val="20"/>
                    <w:szCs w:val="20"/>
                    <w:highlight w:val="white"/>
                  </w:rPr>
                  <w:t>● Description: This indicator is about the way metadata is connected to other data, for example linking to previous or related research data that provides additional context to the data. Please note that this is not about the link from the metadata to the data it describes; that link is considered in principle F3 and in indicator RDA-F3-01M.</w:t>
                </w:r>
              </w:sdtContent>
            </w:sdt>
          </w:p>
          <w:p w14:paraId="536DA478"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74"/>
                <w:id w:val="1459986961"/>
              </w:sdtPr>
              <w:sdtEndPr/>
              <w:sdtContent>
                <w:r w:rsidR="00140473">
                  <w:rPr>
                    <w:rFonts w:ascii="Arial Unicode MS" w:eastAsia="Arial Unicode MS" w:hAnsi="Arial Unicode MS" w:cs="Arial Unicode MS"/>
                    <w:sz w:val="20"/>
                    <w:szCs w:val="20"/>
                    <w:highlight w:val="white"/>
                  </w:rPr>
                  <w:t>● Assessment details: The indicator can be evaluated by looking at the presence of references to other data in the metadata.</w:t>
                </w:r>
              </w:sdtContent>
            </w:sdt>
          </w:p>
        </w:tc>
        <w:tc>
          <w:tcPr>
            <w:tcW w:w="2040" w:type="dxa"/>
            <w:shd w:val="clear" w:color="auto" w:fill="auto"/>
            <w:tcMar>
              <w:top w:w="100" w:type="dxa"/>
              <w:left w:w="100" w:type="dxa"/>
              <w:bottom w:w="100" w:type="dxa"/>
              <w:right w:w="100" w:type="dxa"/>
            </w:tcMar>
          </w:tcPr>
          <w:p w14:paraId="304B695C" w14:textId="77777777" w:rsidR="00BC388A" w:rsidRDefault="00140473">
            <w:pPr>
              <w:widowControl w:val="0"/>
              <w:spacing w:after="0" w:line="240" w:lineRule="auto"/>
              <w:jc w:val="left"/>
              <w:rPr>
                <w:b/>
                <w:color w:val="FF0000"/>
              </w:rPr>
            </w:pPr>
            <w:r>
              <w:rPr>
                <w:b/>
                <w:color w:val="0000FF"/>
              </w:rPr>
              <w:t>Useful</w:t>
            </w:r>
          </w:p>
        </w:tc>
        <w:tc>
          <w:tcPr>
            <w:tcW w:w="1020" w:type="dxa"/>
            <w:shd w:val="clear" w:color="auto" w:fill="auto"/>
            <w:tcMar>
              <w:top w:w="100" w:type="dxa"/>
              <w:left w:w="100" w:type="dxa"/>
              <w:bottom w:w="100" w:type="dxa"/>
              <w:right w:w="100" w:type="dxa"/>
            </w:tcMar>
          </w:tcPr>
          <w:p w14:paraId="5815B920" w14:textId="77777777" w:rsidR="00BC388A" w:rsidRDefault="00140473">
            <w:pPr>
              <w:widowControl w:val="0"/>
              <w:spacing w:after="0" w:line="240" w:lineRule="auto"/>
              <w:jc w:val="left"/>
            </w:pPr>
            <w:r>
              <w:t>TRUE/FALSE</w:t>
            </w:r>
          </w:p>
        </w:tc>
      </w:tr>
      <w:tr w:rsidR="00BC388A" w14:paraId="37B3EB67" w14:textId="77777777">
        <w:tc>
          <w:tcPr>
            <w:tcW w:w="5985" w:type="dxa"/>
            <w:shd w:val="clear" w:color="auto" w:fill="auto"/>
            <w:tcMar>
              <w:top w:w="100" w:type="dxa"/>
              <w:left w:w="100" w:type="dxa"/>
              <w:bottom w:w="100" w:type="dxa"/>
              <w:right w:w="100" w:type="dxa"/>
            </w:tcMar>
          </w:tcPr>
          <w:p w14:paraId="4935B291" w14:textId="77777777" w:rsidR="00BC388A" w:rsidRDefault="00140473">
            <w:pPr>
              <w:widowControl w:val="0"/>
              <w:spacing w:after="0" w:line="240" w:lineRule="auto"/>
              <w:jc w:val="left"/>
            </w:pPr>
            <w:r>
              <w:rPr>
                <w:b/>
                <w:color w:val="0000FF"/>
              </w:rPr>
              <w:t>RDA-I3-02D</w:t>
            </w:r>
            <w:r>
              <w:t xml:space="preserve"> Data includes qualified references to other data.</w:t>
            </w:r>
          </w:p>
          <w:p w14:paraId="2C1033F4"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75"/>
                <w:id w:val="-788191897"/>
              </w:sdtPr>
              <w:sdtEndPr/>
              <w:sdtContent>
                <w:r w:rsidR="00140473">
                  <w:rPr>
                    <w:rFonts w:ascii="Arial Unicode MS" w:eastAsia="Arial Unicode MS" w:hAnsi="Arial Unicode MS" w:cs="Arial Unicode MS"/>
                    <w:sz w:val="20"/>
                    <w:szCs w:val="20"/>
                    <w:highlight w:val="white"/>
                  </w:rPr>
                  <w:t>● Principle: I3: (Meta)data include qualified references to other (meta)data.</w:t>
                </w:r>
              </w:sdtContent>
            </w:sdt>
          </w:p>
          <w:p w14:paraId="04A5D1DD"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76"/>
                <w:id w:val="1083025011"/>
              </w:sdtPr>
              <w:sdtEndPr/>
              <w:sdtContent>
                <w:r w:rsidR="00140473">
                  <w:rPr>
                    <w:rFonts w:ascii="Arial Unicode MS" w:eastAsia="Arial Unicode MS" w:hAnsi="Arial Unicode MS" w:cs="Arial Unicode MS"/>
                    <w:sz w:val="20"/>
                    <w:szCs w:val="20"/>
                    <w:highlight w:val="white"/>
                  </w:rPr>
                  <w:t>● Description: This  indicator is about the way data is connected to other data. The references need  to be qualified which means that the relationship role of the  related resource is specified, for example that a particular link is a specification of a unit  of   measurement,  or  the  identification of  the  sensor  with  which  the measurement was done.</w:t>
                </w:r>
              </w:sdtContent>
            </w:sdt>
          </w:p>
          <w:p w14:paraId="6870C3EE"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77"/>
                <w:id w:val="-55401003"/>
              </w:sdtPr>
              <w:sdtEndPr/>
              <w:sdtContent>
                <w:r w:rsidR="00140473">
                  <w:rPr>
                    <w:rFonts w:ascii="Arial Unicode MS" w:eastAsia="Arial Unicode MS" w:hAnsi="Arial Unicode MS" w:cs="Arial Unicode MS"/>
                    <w:sz w:val="20"/>
                    <w:szCs w:val="20"/>
                    <w:highlight w:val="white"/>
                  </w:rPr>
                  <w:t>● Assessment details: The indicator can be evaluated by validating the presence of references with specification of the relationship role that the related resource has with the data object.</w:t>
                </w:r>
              </w:sdtContent>
            </w:sdt>
          </w:p>
        </w:tc>
        <w:tc>
          <w:tcPr>
            <w:tcW w:w="2040" w:type="dxa"/>
            <w:shd w:val="clear" w:color="auto" w:fill="auto"/>
            <w:tcMar>
              <w:top w:w="100" w:type="dxa"/>
              <w:left w:w="100" w:type="dxa"/>
              <w:bottom w:w="100" w:type="dxa"/>
              <w:right w:w="100" w:type="dxa"/>
            </w:tcMar>
          </w:tcPr>
          <w:p w14:paraId="49196797" w14:textId="77777777" w:rsidR="00BC388A" w:rsidRDefault="00140473">
            <w:pPr>
              <w:widowControl w:val="0"/>
              <w:spacing w:after="0" w:line="240" w:lineRule="auto"/>
              <w:jc w:val="left"/>
              <w:rPr>
                <w:b/>
                <w:color w:val="FF0000"/>
              </w:rPr>
            </w:pPr>
            <w:r>
              <w:rPr>
                <w:b/>
                <w:color w:val="0000FF"/>
              </w:rPr>
              <w:t>Useful</w:t>
            </w:r>
          </w:p>
        </w:tc>
        <w:tc>
          <w:tcPr>
            <w:tcW w:w="1020" w:type="dxa"/>
            <w:shd w:val="clear" w:color="auto" w:fill="auto"/>
            <w:tcMar>
              <w:top w:w="100" w:type="dxa"/>
              <w:left w:w="100" w:type="dxa"/>
              <w:bottom w:w="100" w:type="dxa"/>
              <w:right w:w="100" w:type="dxa"/>
            </w:tcMar>
          </w:tcPr>
          <w:p w14:paraId="6EA7D56F" w14:textId="77777777" w:rsidR="00BC388A" w:rsidRDefault="00140473">
            <w:pPr>
              <w:widowControl w:val="0"/>
              <w:spacing w:after="0" w:line="240" w:lineRule="auto"/>
              <w:jc w:val="left"/>
            </w:pPr>
            <w:r>
              <w:t>TRUE/FALSE</w:t>
            </w:r>
          </w:p>
        </w:tc>
      </w:tr>
      <w:tr w:rsidR="00BC388A" w14:paraId="6CA85F65" w14:textId="77777777">
        <w:tc>
          <w:tcPr>
            <w:tcW w:w="5985" w:type="dxa"/>
            <w:shd w:val="clear" w:color="auto" w:fill="auto"/>
            <w:tcMar>
              <w:top w:w="100" w:type="dxa"/>
              <w:left w:w="100" w:type="dxa"/>
              <w:bottom w:w="100" w:type="dxa"/>
              <w:right w:w="100" w:type="dxa"/>
            </w:tcMar>
          </w:tcPr>
          <w:p w14:paraId="0C5A8D70" w14:textId="77777777" w:rsidR="00BC388A" w:rsidRDefault="00140473">
            <w:pPr>
              <w:widowControl w:val="0"/>
              <w:spacing w:after="0" w:line="240" w:lineRule="auto"/>
              <w:jc w:val="left"/>
            </w:pPr>
            <w:r>
              <w:rPr>
                <w:b/>
                <w:color w:val="F07E19"/>
              </w:rPr>
              <w:t>RDA-I3-03M</w:t>
            </w:r>
            <w:r>
              <w:t xml:space="preserve"> Metadata includes qualified references to other metadata.</w:t>
            </w:r>
          </w:p>
          <w:p w14:paraId="08F0ABF3"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78"/>
                <w:id w:val="938879157"/>
              </w:sdtPr>
              <w:sdtEndPr/>
              <w:sdtContent>
                <w:r w:rsidR="00140473">
                  <w:rPr>
                    <w:rFonts w:ascii="Arial Unicode MS" w:eastAsia="Arial Unicode MS" w:hAnsi="Arial Unicode MS" w:cs="Arial Unicode MS"/>
                    <w:sz w:val="20"/>
                    <w:szCs w:val="20"/>
                    <w:highlight w:val="white"/>
                  </w:rPr>
                  <w:t>● Principle:  I3: (Meta)data include qualified references to other (meta)data</w:t>
                </w:r>
              </w:sdtContent>
            </w:sdt>
          </w:p>
          <w:p w14:paraId="14014DD7"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79"/>
                <w:id w:val="-173801423"/>
              </w:sdtPr>
              <w:sdtEndPr/>
              <w:sdtContent>
                <w:r w:rsidR="00140473">
                  <w:rPr>
                    <w:rFonts w:ascii="Arial Unicode MS" w:eastAsia="Arial Unicode MS" w:hAnsi="Arial Unicode MS" w:cs="Arial Unicode MS"/>
                    <w:sz w:val="20"/>
                    <w:szCs w:val="20"/>
                    <w:highlight w:val="white"/>
                  </w:rPr>
                  <w:t xml:space="preserve">● Description: This indicator is about the way metadata is connected to other metadata, for example to descriptions of related resources that provide additional context to the data. </w:t>
                </w:r>
                <w:r w:rsidR="00140473">
                  <w:rPr>
                    <w:rFonts w:ascii="Arial Unicode MS" w:eastAsia="Arial Unicode MS" w:hAnsi="Arial Unicode MS" w:cs="Arial Unicode MS"/>
                    <w:sz w:val="20"/>
                    <w:szCs w:val="20"/>
                    <w:highlight w:val="white"/>
                  </w:rPr>
                  <w:lastRenderedPageBreak/>
                  <w:t>The references need to be qualified which means that the relationship of  the related resource is specified, for example person Y is the author of dataset X.</w:t>
                </w:r>
              </w:sdtContent>
            </w:sdt>
          </w:p>
          <w:p w14:paraId="1113EC4D"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80"/>
                <w:id w:val="-1764453724"/>
              </w:sdtPr>
              <w:sdtEndPr/>
              <w:sdtContent>
                <w:r w:rsidR="00140473">
                  <w:rPr>
                    <w:rFonts w:ascii="Arial Unicode MS" w:eastAsia="Arial Unicode MS" w:hAnsi="Arial Unicode MS" w:cs="Arial Unicode MS"/>
                    <w:sz w:val="20"/>
                    <w:szCs w:val="20"/>
                    <w:highlight w:val="white"/>
                  </w:rPr>
                  <w:t>● Assessment details:  This indicator can be evaluated by looking at the presence of references with specification of the relationship that the related resource has to the described resource.</w:t>
                </w:r>
              </w:sdtContent>
            </w:sdt>
          </w:p>
        </w:tc>
        <w:tc>
          <w:tcPr>
            <w:tcW w:w="2040" w:type="dxa"/>
            <w:shd w:val="clear" w:color="auto" w:fill="auto"/>
            <w:tcMar>
              <w:top w:w="100" w:type="dxa"/>
              <w:left w:w="100" w:type="dxa"/>
              <w:bottom w:w="100" w:type="dxa"/>
              <w:right w:w="100" w:type="dxa"/>
            </w:tcMar>
          </w:tcPr>
          <w:p w14:paraId="445D0C7B" w14:textId="77777777" w:rsidR="00BC388A" w:rsidRDefault="00140473">
            <w:pPr>
              <w:widowControl w:val="0"/>
              <w:spacing w:after="0" w:line="240" w:lineRule="auto"/>
              <w:jc w:val="left"/>
              <w:rPr>
                <w:b/>
                <w:color w:val="FF9900"/>
              </w:rPr>
            </w:pPr>
            <w:r>
              <w:rPr>
                <w:b/>
                <w:color w:val="FF9900"/>
              </w:rPr>
              <w:lastRenderedPageBreak/>
              <w:t>Important</w:t>
            </w:r>
          </w:p>
        </w:tc>
        <w:tc>
          <w:tcPr>
            <w:tcW w:w="1020" w:type="dxa"/>
            <w:shd w:val="clear" w:color="auto" w:fill="auto"/>
            <w:tcMar>
              <w:top w:w="100" w:type="dxa"/>
              <w:left w:w="100" w:type="dxa"/>
              <w:bottom w:w="100" w:type="dxa"/>
              <w:right w:w="100" w:type="dxa"/>
            </w:tcMar>
          </w:tcPr>
          <w:p w14:paraId="40B4A19A" w14:textId="77777777" w:rsidR="00BC388A" w:rsidRDefault="00140473">
            <w:pPr>
              <w:widowControl w:val="0"/>
              <w:spacing w:after="0" w:line="240" w:lineRule="auto"/>
              <w:jc w:val="left"/>
            </w:pPr>
            <w:r>
              <w:t>TRUE/FALSE</w:t>
            </w:r>
          </w:p>
        </w:tc>
      </w:tr>
      <w:tr w:rsidR="00BC388A" w14:paraId="552548B1" w14:textId="77777777">
        <w:tc>
          <w:tcPr>
            <w:tcW w:w="5985" w:type="dxa"/>
            <w:shd w:val="clear" w:color="auto" w:fill="auto"/>
            <w:tcMar>
              <w:top w:w="100" w:type="dxa"/>
              <w:left w:w="100" w:type="dxa"/>
              <w:bottom w:w="100" w:type="dxa"/>
              <w:right w:w="100" w:type="dxa"/>
            </w:tcMar>
          </w:tcPr>
          <w:p w14:paraId="1260865A" w14:textId="77777777" w:rsidR="00BC388A" w:rsidRDefault="00140473">
            <w:pPr>
              <w:widowControl w:val="0"/>
              <w:spacing w:after="0" w:line="240" w:lineRule="auto"/>
              <w:jc w:val="left"/>
            </w:pPr>
            <w:r>
              <w:rPr>
                <w:b/>
                <w:color w:val="0000FF"/>
              </w:rPr>
              <w:t>RDA-I3-04M</w:t>
            </w:r>
            <w:r>
              <w:t xml:space="preserve"> Metadata includes qualified references to other data.</w:t>
            </w:r>
          </w:p>
          <w:p w14:paraId="1C0EEA76"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81"/>
                <w:id w:val="14589212"/>
              </w:sdtPr>
              <w:sdtEndPr/>
              <w:sdtContent>
                <w:r w:rsidR="00140473">
                  <w:rPr>
                    <w:rFonts w:ascii="Arial Unicode MS" w:eastAsia="Arial Unicode MS" w:hAnsi="Arial Unicode MS" w:cs="Arial Unicode MS"/>
                    <w:sz w:val="20"/>
                    <w:szCs w:val="20"/>
                    <w:highlight w:val="white"/>
                  </w:rPr>
                  <w:t>● Principle: : I3: (Meta)data include qualified references to other (meta)data.</w:t>
                </w:r>
              </w:sdtContent>
            </w:sdt>
          </w:p>
          <w:p w14:paraId="03457A73"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82"/>
                <w:id w:val="-1515456592"/>
              </w:sdtPr>
              <w:sdtEndPr/>
              <w:sdtContent>
                <w:r w:rsidR="00140473">
                  <w:rPr>
                    <w:rFonts w:ascii="Arial Unicode MS" w:eastAsia="Arial Unicode MS" w:hAnsi="Arial Unicode MS" w:cs="Arial Unicode MS"/>
                    <w:sz w:val="20"/>
                    <w:szCs w:val="20"/>
                    <w:highlight w:val="white"/>
                  </w:rPr>
                  <w:t>● Description: This  indicator is  about the way metadata is connected to other data. The references need to be qualified which means that the relationship role of  the related resource is specified, for example dataset X is derived from dataset Y.</w:t>
                </w:r>
              </w:sdtContent>
            </w:sdt>
          </w:p>
          <w:p w14:paraId="1B774F7E"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83"/>
                <w:id w:val="-1738625495"/>
              </w:sdtPr>
              <w:sdtEndPr/>
              <w:sdtContent>
                <w:r w:rsidR="00140473">
                  <w:rPr>
                    <w:rFonts w:ascii="Arial Unicode MS" w:eastAsia="Arial Unicode MS" w:hAnsi="Arial Unicode MS" w:cs="Arial Unicode MS"/>
                    <w:sz w:val="20"/>
                    <w:szCs w:val="20"/>
                    <w:highlight w:val="white"/>
                  </w:rPr>
                  <w:t>● Assessment details: This indicator can be evaluated by looking at the presence of references with specification of the  relationship role that the related resource has  with  the described resource.</w:t>
                </w:r>
              </w:sdtContent>
            </w:sdt>
          </w:p>
        </w:tc>
        <w:tc>
          <w:tcPr>
            <w:tcW w:w="2040" w:type="dxa"/>
            <w:shd w:val="clear" w:color="auto" w:fill="auto"/>
            <w:tcMar>
              <w:top w:w="100" w:type="dxa"/>
              <w:left w:w="100" w:type="dxa"/>
              <w:bottom w:w="100" w:type="dxa"/>
              <w:right w:w="100" w:type="dxa"/>
            </w:tcMar>
          </w:tcPr>
          <w:p w14:paraId="4B3153B7" w14:textId="77777777" w:rsidR="00BC388A" w:rsidRDefault="00140473">
            <w:pPr>
              <w:widowControl w:val="0"/>
              <w:spacing w:after="0" w:line="240" w:lineRule="auto"/>
              <w:jc w:val="left"/>
              <w:rPr>
                <w:b/>
                <w:color w:val="FF0000"/>
              </w:rPr>
            </w:pPr>
            <w:r>
              <w:rPr>
                <w:b/>
                <w:color w:val="0000FF"/>
              </w:rPr>
              <w:t>Useful</w:t>
            </w:r>
          </w:p>
        </w:tc>
        <w:tc>
          <w:tcPr>
            <w:tcW w:w="1020" w:type="dxa"/>
            <w:shd w:val="clear" w:color="auto" w:fill="auto"/>
            <w:tcMar>
              <w:top w:w="100" w:type="dxa"/>
              <w:left w:w="100" w:type="dxa"/>
              <w:bottom w:w="100" w:type="dxa"/>
              <w:right w:w="100" w:type="dxa"/>
            </w:tcMar>
          </w:tcPr>
          <w:p w14:paraId="3E657423" w14:textId="77777777" w:rsidR="00BC388A" w:rsidRDefault="00140473">
            <w:pPr>
              <w:widowControl w:val="0"/>
              <w:spacing w:after="0" w:line="240" w:lineRule="auto"/>
              <w:jc w:val="left"/>
            </w:pPr>
            <w:r>
              <w:t>TRUE/FALSE</w:t>
            </w:r>
          </w:p>
        </w:tc>
      </w:tr>
    </w:tbl>
    <w:p w14:paraId="1262904F" w14:textId="77777777" w:rsidR="00BC388A" w:rsidRDefault="00BC388A"/>
    <w:tbl>
      <w:tblPr>
        <w:tblStyle w:val="af7"/>
        <w:tblW w:w="9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35"/>
        <w:gridCol w:w="1260"/>
        <w:gridCol w:w="1080"/>
      </w:tblGrid>
      <w:tr w:rsidR="00BC388A" w14:paraId="1087A350" w14:textId="77777777">
        <w:tc>
          <w:tcPr>
            <w:tcW w:w="6735" w:type="dxa"/>
            <w:shd w:val="clear" w:color="auto" w:fill="FF9900"/>
            <w:tcMar>
              <w:top w:w="100" w:type="dxa"/>
              <w:left w:w="100" w:type="dxa"/>
              <w:bottom w:w="100" w:type="dxa"/>
              <w:right w:w="100" w:type="dxa"/>
            </w:tcMar>
          </w:tcPr>
          <w:p w14:paraId="6A46F0A7" w14:textId="77777777" w:rsidR="00BC388A" w:rsidRDefault="00140473">
            <w:pPr>
              <w:widowControl w:val="0"/>
              <w:spacing w:after="0" w:line="240" w:lineRule="auto"/>
              <w:jc w:val="left"/>
              <w:rPr>
                <w:b/>
              </w:rPr>
            </w:pPr>
            <w:r>
              <w:rPr>
                <w:b/>
              </w:rPr>
              <w:t>Indicators for Reusable</w:t>
            </w:r>
          </w:p>
        </w:tc>
        <w:tc>
          <w:tcPr>
            <w:tcW w:w="1260" w:type="dxa"/>
            <w:shd w:val="clear" w:color="auto" w:fill="FF9900"/>
            <w:tcMar>
              <w:top w:w="100" w:type="dxa"/>
              <w:left w:w="100" w:type="dxa"/>
              <w:bottom w:w="100" w:type="dxa"/>
              <w:right w:w="100" w:type="dxa"/>
            </w:tcMar>
          </w:tcPr>
          <w:p w14:paraId="3E8B1B39" w14:textId="77777777" w:rsidR="00BC388A" w:rsidRDefault="00140473">
            <w:pPr>
              <w:widowControl w:val="0"/>
              <w:spacing w:after="0" w:line="240" w:lineRule="auto"/>
              <w:jc w:val="left"/>
              <w:rPr>
                <w:b/>
              </w:rPr>
            </w:pPr>
            <w:r>
              <w:rPr>
                <w:b/>
              </w:rPr>
              <w:t>Priority</w:t>
            </w:r>
          </w:p>
        </w:tc>
        <w:tc>
          <w:tcPr>
            <w:tcW w:w="1080" w:type="dxa"/>
            <w:shd w:val="clear" w:color="auto" w:fill="FF9900"/>
            <w:tcMar>
              <w:top w:w="100" w:type="dxa"/>
              <w:left w:w="100" w:type="dxa"/>
              <w:bottom w:w="100" w:type="dxa"/>
              <w:right w:w="100" w:type="dxa"/>
            </w:tcMar>
          </w:tcPr>
          <w:p w14:paraId="79A02A67" w14:textId="77777777" w:rsidR="00BC388A" w:rsidRDefault="00140473">
            <w:pPr>
              <w:widowControl w:val="0"/>
              <w:spacing w:after="0" w:line="240" w:lineRule="auto"/>
              <w:jc w:val="left"/>
              <w:rPr>
                <w:b/>
              </w:rPr>
            </w:pPr>
            <w:r>
              <w:rPr>
                <w:b/>
              </w:rPr>
              <w:t>Results</w:t>
            </w:r>
          </w:p>
        </w:tc>
      </w:tr>
      <w:tr w:rsidR="00BC388A" w14:paraId="5AAFCC22" w14:textId="77777777">
        <w:tc>
          <w:tcPr>
            <w:tcW w:w="6735" w:type="dxa"/>
            <w:shd w:val="clear" w:color="auto" w:fill="auto"/>
            <w:tcMar>
              <w:top w:w="100" w:type="dxa"/>
              <w:left w:w="100" w:type="dxa"/>
              <w:bottom w:w="100" w:type="dxa"/>
              <w:right w:w="100" w:type="dxa"/>
            </w:tcMar>
          </w:tcPr>
          <w:p w14:paraId="3E90EB23" w14:textId="77777777" w:rsidR="00BC388A" w:rsidRDefault="00140473">
            <w:pPr>
              <w:widowControl w:val="0"/>
              <w:spacing w:after="0" w:line="240" w:lineRule="auto"/>
              <w:jc w:val="left"/>
            </w:pPr>
            <w:r>
              <w:rPr>
                <w:b/>
                <w:color w:val="FF0000"/>
              </w:rPr>
              <w:t>RDA-R1-01M</w:t>
            </w:r>
            <w:r>
              <w:t xml:space="preserve"> Plurality of accurate and relevant attributes are provided to allow reuse.</w:t>
            </w:r>
          </w:p>
          <w:p w14:paraId="58996499"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84"/>
                <w:id w:val="-2068942530"/>
              </w:sdtPr>
              <w:sdtEndPr/>
              <w:sdtContent>
                <w:r w:rsidR="00140473">
                  <w:rPr>
                    <w:rFonts w:ascii="Arial Unicode MS" w:eastAsia="Arial Unicode MS" w:hAnsi="Arial Unicode MS" w:cs="Arial Unicode MS"/>
                    <w:sz w:val="20"/>
                    <w:szCs w:val="20"/>
                    <w:highlight w:val="white"/>
                  </w:rPr>
                  <w:t>● Principle: R1: (Meta)data are richly described with a plurality of accurate and relevant attributes.</w:t>
                </w:r>
              </w:sdtContent>
            </w:sdt>
          </w:p>
          <w:p w14:paraId="0FB514FB"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85"/>
                <w:id w:val="-1522860094"/>
              </w:sdtPr>
              <w:sdtEndPr/>
              <w:sdtContent>
                <w:r w:rsidR="00140473">
                  <w:rPr>
                    <w:rFonts w:ascii="Arial Unicode MS" w:eastAsia="Arial Unicode MS" w:hAnsi="Arial Unicode MS" w:cs="Arial Unicode MS"/>
                    <w:sz w:val="20"/>
                    <w:szCs w:val="20"/>
                    <w:highlight w:val="white"/>
                  </w:rPr>
                  <w:t>● Description: The indicator concerns the quantity but also the quality of metadata provided in order to enhance data reusability.</w:t>
                </w:r>
              </w:sdtContent>
            </w:sdt>
          </w:p>
          <w:p w14:paraId="30F29B08"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86"/>
                <w:id w:val="610477849"/>
              </w:sdtPr>
              <w:sdtEndPr/>
              <w:sdtContent>
                <w:r w:rsidR="00140473">
                  <w:rPr>
                    <w:rFonts w:ascii="Arial Unicode MS" w:eastAsia="Arial Unicode MS" w:hAnsi="Arial Unicode MS" w:cs="Arial Unicode MS"/>
                    <w:sz w:val="20"/>
                    <w:szCs w:val="20"/>
                    <w:highlight w:val="white"/>
                  </w:rPr>
                  <w:t xml:space="preserve">● Assessment details: This indicator can be evaluated with the help of standards registries such as the RDA-endorsed </w:t>
                </w:r>
                <w:proofErr w:type="spellStart"/>
                <w:r w:rsidR="00140473">
                  <w:rPr>
                    <w:rFonts w:ascii="Arial Unicode MS" w:eastAsia="Arial Unicode MS" w:hAnsi="Arial Unicode MS" w:cs="Arial Unicode MS"/>
                    <w:sz w:val="20"/>
                    <w:szCs w:val="20"/>
                    <w:highlight w:val="white"/>
                  </w:rPr>
                  <w:t>FAIRsharing</w:t>
                </w:r>
                <w:proofErr w:type="spellEnd"/>
                <w:r w:rsidR="00140473">
                  <w:rPr>
                    <w:rFonts w:ascii="Arial Unicode MS" w:eastAsia="Arial Unicode MS" w:hAnsi="Arial Unicode MS" w:cs="Arial Unicode MS"/>
                    <w:sz w:val="20"/>
                    <w:szCs w:val="20"/>
                    <w:highlight w:val="white"/>
                  </w:rPr>
                  <w:t xml:space="preserve"> (see for example: https://fairsharing.org/standards/?q=/format&amp;selected_facets=type_exact:reporting%20guideline).</w:t>
                </w:r>
              </w:sdtContent>
            </w:sdt>
          </w:p>
        </w:tc>
        <w:tc>
          <w:tcPr>
            <w:tcW w:w="1260" w:type="dxa"/>
            <w:shd w:val="clear" w:color="auto" w:fill="auto"/>
            <w:tcMar>
              <w:top w:w="100" w:type="dxa"/>
              <w:left w:w="100" w:type="dxa"/>
              <w:bottom w:w="100" w:type="dxa"/>
              <w:right w:w="100" w:type="dxa"/>
            </w:tcMar>
          </w:tcPr>
          <w:p w14:paraId="66323E12" w14:textId="77777777" w:rsidR="00BC388A" w:rsidRDefault="00140473">
            <w:pPr>
              <w:widowControl w:val="0"/>
              <w:spacing w:after="0" w:line="240" w:lineRule="auto"/>
              <w:jc w:val="left"/>
              <w:rPr>
                <w:b/>
                <w:color w:val="FF0000"/>
              </w:rPr>
            </w:pPr>
            <w:r>
              <w:rPr>
                <w:b/>
                <w:color w:val="FF0000"/>
              </w:rPr>
              <w:t>Essential</w:t>
            </w:r>
          </w:p>
        </w:tc>
        <w:tc>
          <w:tcPr>
            <w:tcW w:w="1080" w:type="dxa"/>
            <w:shd w:val="clear" w:color="auto" w:fill="auto"/>
            <w:tcMar>
              <w:top w:w="100" w:type="dxa"/>
              <w:left w:w="100" w:type="dxa"/>
              <w:bottom w:w="100" w:type="dxa"/>
              <w:right w:w="100" w:type="dxa"/>
            </w:tcMar>
          </w:tcPr>
          <w:p w14:paraId="30843346" w14:textId="77777777" w:rsidR="00BC388A" w:rsidRDefault="00140473">
            <w:pPr>
              <w:widowControl w:val="0"/>
              <w:spacing w:after="0" w:line="240" w:lineRule="auto"/>
              <w:jc w:val="left"/>
            </w:pPr>
            <w:r>
              <w:t>TRUE/FALSE</w:t>
            </w:r>
          </w:p>
        </w:tc>
      </w:tr>
      <w:tr w:rsidR="00BC388A" w14:paraId="4AA33CAD" w14:textId="77777777">
        <w:tc>
          <w:tcPr>
            <w:tcW w:w="6735" w:type="dxa"/>
            <w:shd w:val="clear" w:color="auto" w:fill="auto"/>
            <w:tcMar>
              <w:top w:w="100" w:type="dxa"/>
              <w:left w:w="100" w:type="dxa"/>
              <w:bottom w:w="100" w:type="dxa"/>
              <w:right w:w="100" w:type="dxa"/>
            </w:tcMar>
          </w:tcPr>
          <w:p w14:paraId="25372E09" w14:textId="77777777" w:rsidR="00BC388A" w:rsidRDefault="00140473">
            <w:pPr>
              <w:widowControl w:val="0"/>
              <w:spacing w:after="0" w:line="240" w:lineRule="auto"/>
              <w:jc w:val="left"/>
            </w:pPr>
            <w:r>
              <w:rPr>
                <w:b/>
                <w:color w:val="FF0000"/>
              </w:rPr>
              <w:t>RDA-R1.1-01M</w:t>
            </w:r>
            <w:r>
              <w:t xml:space="preserve"> Metadata includes information about the licence under which the data can be reused.</w:t>
            </w:r>
          </w:p>
          <w:p w14:paraId="50EDE882"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87"/>
                <w:id w:val="1029074279"/>
              </w:sdtPr>
              <w:sdtEndPr/>
              <w:sdtContent>
                <w:r w:rsidR="00140473">
                  <w:rPr>
                    <w:rFonts w:ascii="Arial Unicode MS" w:eastAsia="Arial Unicode MS" w:hAnsi="Arial Unicode MS" w:cs="Arial Unicode MS"/>
                    <w:sz w:val="20"/>
                    <w:szCs w:val="20"/>
                    <w:highlight w:val="white"/>
                  </w:rPr>
                  <w:t>● Principle: R1.1: (Meta)data are released with a clear and accessible data usage license. More information about that principle can be found here.</w:t>
                </w:r>
              </w:sdtContent>
            </w:sdt>
          </w:p>
          <w:p w14:paraId="51FDA9E1"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88"/>
                <w:id w:val="1329168482"/>
              </w:sdtPr>
              <w:sdtEndPr/>
              <w:sdtContent>
                <w:r w:rsidR="00140473">
                  <w:rPr>
                    <w:rFonts w:ascii="Arial Unicode MS" w:eastAsia="Arial Unicode MS" w:hAnsi="Arial Unicode MS" w:cs="Arial Unicode MS"/>
                    <w:sz w:val="20"/>
                    <w:szCs w:val="20"/>
                    <w:highlight w:val="white"/>
                  </w:rPr>
                  <w:t>● Description: This indicator is about the information that is provided in the metadata related to the conditions (e.g. obligations, restrictions) under which data can be reused. In the absence of licence information, data cannot be reused.</w:t>
                </w:r>
              </w:sdtContent>
            </w:sdt>
          </w:p>
          <w:p w14:paraId="0B6AF0BD"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89"/>
                <w:id w:val="-1910377252"/>
              </w:sdtPr>
              <w:sdtEndPr/>
              <w:sdtContent>
                <w:r w:rsidR="00140473">
                  <w:rPr>
                    <w:rFonts w:ascii="Arial Unicode MS" w:eastAsia="Arial Unicode MS" w:hAnsi="Arial Unicode MS" w:cs="Arial Unicode MS"/>
                    <w:sz w:val="20"/>
                    <w:szCs w:val="20"/>
                    <w:highlight w:val="white"/>
                  </w:rPr>
                  <w:t>● Assessment details: This indicator can be evaluated by looking in the metadata for licence information. This information may be in human-readable text; machine-understandability of the information is covered in indicator RDA-R1.1-03M.</w:t>
                </w:r>
              </w:sdtContent>
            </w:sdt>
          </w:p>
        </w:tc>
        <w:tc>
          <w:tcPr>
            <w:tcW w:w="1260" w:type="dxa"/>
            <w:shd w:val="clear" w:color="auto" w:fill="auto"/>
            <w:tcMar>
              <w:top w:w="100" w:type="dxa"/>
              <w:left w:w="100" w:type="dxa"/>
              <w:bottom w:w="100" w:type="dxa"/>
              <w:right w:w="100" w:type="dxa"/>
            </w:tcMar>
          </w:tcPr>
          <w:p w14:paraId="20A22787" w14:textId="77777777" w:rsidR="00BC388A" w:rsidRDefault="00140473">
            <w:pPr>
              <w:widowControl w:val="0"/>
              <w:spacing w:after="0" w:line="240" w:lineRule="auto"/>
              <w:jc w:val="left"/>
              <w:rPr>
                <w:b/>
              </w:rPr>
            </w:pPr>
            <w:r>
              <w:rPr>
                <w:b/>
                <w:color w:val="FF0000"/>
              </w:rPr>
              <w:t>Essential</w:t>
            </w:r>
          </w:p>
        </w:tc>
        <w:tc>
          <w:tcPr>
            <w:tcW w:w="1080" w:type="dxa"/>
            <w:shd w:val="clear" w:color="auto" w:fill="auto"/>
            <w:tcMar>
              <w:top w:w="100" w:type="dxa"/>
              <w:left w:w="100" w:type="dxa"/>
              <w:bottom w:w="100" w:type="dxa"/>
              <w:right w:w="100" w:type="dxa"/>
            </w:tcMar>
          </w:tcPr>
          <w:p w14:paraId="07D3279C" w14:textId="77777777" w:rsidR="00BC388A" w:rsidRDefault="00140473">
            <w:pPr>
              <w:widowControl w:val="0"/>
              <w:spacing w:after="0" w:line="240" w:lineRule="auto"/>
              <w:jc w:val="left"/>
            </w:pPr>
            <w:r>
              <w:t>TRUE/FALSE</w:t>
            </w:r>
          </w:p>
        </w:tc>
      </w:tr>
      <w:tr w:rsidR="00BC388A" w14:paraId="55CEAAEE" w14:textId="77777777">
        <w:tc>
          <w:tcPr>
            <w:tcW w:w="6735" w:type="dxa"/>
            <w:shd w:val="clear" w:color="auto" w:fill="auto"/>
            <w:tcMar>
              <w:top w:w="100" w:type="dxa"/>
              <w:left w:w="100" w:type="dxa"/>
              <w:bottom w:w="100" w:type="dxa"/>
              <w:right w:w="100" w:type="dxa"/>
            </w:tcMar>
          </w:tcPr>
          <w:p w14:paraId="735B8ABE" w14:textId="77777777" w:rsidR="00BC388A" w:rsidRDefault="00140473">
            <w:pPr>
              <w:widowControl w:val="0"/>
              <w:spacing w:after="0" w:line="240" w:lineRule="auto"/>
              <w:jc w:val="left"/>
            </w:pPr>
            <w:r>
              <w:rPr>
                <w:b/>
                <w:color w:val="F07E19"/>
              </w:rPr>
              <w:t>RDA-R1.1-02M</w:t>
            </w:r>
            <w:r>
              <w:t xml:space="preserve"> Metadata refers to a standard reuse licence.</w:t>
            </w:r>
          </w:p>
          <w:p w14:paraId="19E68952"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90"/>
                <w:id w:val="313689382"/>
              </w:sdtPr>
              <w:sdtEndPr/>
              <w:sdtContent>
                <w:r w:rsidR="00140473">
                  <w:rPr>
                    <w:rFonts w:ascii="Arial Unicode MS" w:eastAsia="Arial Unicode MS" w:hAnsi="Arial Unicode MS" w:cs="Arial Unicode MS"/>
                    <w:sz w:val="20"/>
                    <w:szCs w:val="20"/>
                    <w:highlight w:val="white"/>
                  </w:rPr>
                  <w:t>● Principle: R1.1: (Meta)data are released with a clear and accessible data usage license.</w:t>
                </w:r>
              </w:sdtContent>
            </w:sdt>
          </w:p>
          <w:p w14:paraId="3C2ED0A7"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91"/>
                <w:id w:val="1791474942"/>
              </w:sdtPr>
              <w:sdtEndPr/>
              <w:sdtContent>
                <w:r w:rsidR="00140473">
                  <w:rPr>
                    <w:rFonts w:ascii="Arial Unicode MS" w:eastAsia="Arial Unicode MS" w:hAnsi="Arial Unicode MS" w:cs="Arial Unicode MS"/>
                    <w:sz w:val="20"/>
                    <w:szCs w:val="20"/>
                    <w:highlight w:val="white"/>
                  </w:rPr>
                  <w:t>● Description: This indicator requires the reference to the conditions of reuse to be a standard licence, rather than a locally defined licence.</w:t>
                </w:r>
              </w:sdtContent>
            </w:sdt>
          </w:p>
          <w:p w14:paraId="6B07638B"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92"/>
                <w:id w:val="-927271479"/>
              </w:sdtPr>
              <w:sdtEndPr/>
              <w:sdtContent>
                <w:r w:rsidR="00140473">
                  <w:rPr>
                    <w:rFonts w:ascii="Arial Unicode MS" w:eastAsia="Arial Unicode MS" w:hAnsi="Arial Unicode MS" w:cs="Arial Unicode MS"/>
                    <w:sz w:val="20"/>
                    <w:szCs w:val="20"/>
                    <w:highlight w:val="white"/>
                  </w:rPr>
                  <w:t>● Assessment details: The indicator can be evaluated by verifying that the licence is indeed a standard licence. Examples of standard licences are: Creative Commons licences, Open Data Commons.</w:t>
                </w:r>
              </w:sdtContent>
            </w:sdt>
          </w:p>
        </w:tc>
        <w:tc>
          <w:tcPr>
            <w:tcW w:w="1260" w:type="dxa"/>
            <w:shd w:val="clear" w:color="auto" w:fill="auto"/>
            <w:tcMar>
              <w:top w:w="100" w:type="dxa"/>
              <w:left w:w="100" w:type="dxa"/>
              <w:bottom w:w="100" w:type="dxa"/>
              <w:right w:w="100" w:type="dxa"/>
            </w:tcMar>
          </w:tcPr>
          <w:p w14:paraId="1582B346" w14:textId="77777777" w:rsidR="00BC388A" w:rsidRDefault="00140473">
            <w:pPr>
              <w:widowControl w:val="0"/>
              <w:spacing w:after="0" w:line="240" w:lineRule="auto"/>
              <w:jc w:val="left"/>
              <w:rPr>
                <w:b/>
                <w:color w:val="FF9900"/>
              </w:rPr>
            </w:pPr>
            <w:r>
              <w:rPr>
                <w:b/>
                <w:color w:val="FF9900"/>
              </w:rPr>
              <w:lastRenderedPageBreak/>
              <w:t>Important</w:t>
            </w:r>
          </w:p>
        </w:tc>
        <w:tc>
          <w:tcPr>
            <w:tcW w:w="1080" w:type="dxa"/>
            <w:shd w:val="clear" w:color="auto" w:fill="auto"/>
            <w:tcMar>
              <w:top w:w="100" w:type="dxa"/>
              <w:left w:w="100" w:type="dxa"/>
              <w:bottom w:w="100" w:type="dxa"/>
              <w:right w:w="100" w:type="dxa"/>
            </w:tcMar>
          </w:tcPr>
          <w:p w14:paraId="52244DEF" w14:textId="77777777" w:rsidR="00BC388A" w:rsidRDefault="00140473">
            <w:pPr>
              <w:widowControl w:val="0"/>
              <w:spacing w:after="0" w:line="240" w:lineRule="auto"/>
              <w:jc w:val="left"/>
            </w:pPr>
            <w:r>
              <w:t>TRUE/FALSE</w:t>
            </w:r>
          </w:p>
        </w:tc>
      </w:tr>
      <w:tr w:rsidR="00BC388A" w14:paraId="38E394D5" w14:textId="77777777">
        <w:tc>
          <w:tcPr>
            <w:tcW w:w="6735" w:type="dxa"/>
            <w:shd w:val="clear" w:color="auto" w:fill="auto"/>
            <w:tcMar>
              <w:top w:w="100" w:type="dxa"/>
              <w:left w:w="100" w:type="dxa"/>
              <w:bottom w:w="100" w:type="dxa"/>
              <w:right w:w="100" w:type="dxa"/>
            </w:tcMar>
          </w:tcPr>
          <w:p w14:paraId="748055E2" w14:textId="77777777" w:rsidR="00BC388A" w:rsidRDefault="00140473">
            <w:pPr>
              <w:widowControl w:val="0"/>
              <w:spacing w:after="0" w:line="240" w:lineRule="auto"/>
              <w:jc w:val="left"/>
            </w:pPr>
            <w:r>
              <w:rPr>
                <w:b/>
                <w:color w:val="F07E19"/>
              </w:rPr>
              <w:t>RDA-R1.1-03M</w:t>
            </w:r>
            <w:r>
              <w:t xml:space="preserve"> Metadata refers to a machine-understandable reuse licence.</w:t>
            </w:r>
          </w:p>
          <w:p w14:paraId="7A6BAEBE"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93"/>
                <w:id w:val="-1593705143"/>
              </w:sdtPr>
              <w:sdtEndPr/>
              <w:sdtContent>
                <w:r w:rsidR="00140473">
                  <w:rPr>
                    <w:rFonts w:ascii="Arial Unicode MS" w:eastAsia="Arial Unicode MS" w:hAnsi="Arial Unicode MS" w:cs="Arial Unicode MS"/>
                    <w:sz w:val="20"/>
                    <w:szCs w:val="20"/>
                    <w:highlight w:val="white"/>
                  </w:rPr>
                  <w:t>● Principle: R1.1: (Meta)data are released with a clear and accessible data usage license.</w:t>
                </w:r>
              </w:sdtContent>
            </w:sdt>
          </w:p>
          <w:p w14:paraId="101BA1BE"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94"/>
                <w:id w:val="1249932446"/>
              </w:sdtPr>
              <w:sdtEndPr/>
              <w:sdtContent>
                <w:r w:rsidR="00140473">
                  <w:rPr>
                    <w:rFonts w:ascii="Arial Unicode MS" w:eastAsia="Arial Unicode MS" w:hAnsi="Arial Unicode MS" w:cs="Arial Unicode MS"/>
                    <w:sz w:val="20"/>
                    <w:szCs w:val="20"/>
                    <w:highlight w:val="white"/>
                  </w:rPr>
                  <w:t>● Description: This indicator is about the way that the reuse licence is expressed. Rather than being a human-readable text, the licence should be expressed in such a way that it can be processed by machines, without human intervention, for example in automated searches.</w:t>
                </w:r>
              </w:sdtContent>
            </w:sdt>
          </w:p>
          <w:p w14:paraId="0F18AD19"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95"/>
                <w:id w:val="434253791"/>
              </w:sdtPr>
              <w:sdtEndPr/>
              <w:sdtContent>
                <w:r w:rsidR="00140473">
                  <w:rPr>
                    <w:rFonts w:ascii="Arial Unicode MS" w:eastAsia="Arial Unicode MS" w:hAnsi="Arial Unicode MS" w:cs="Arial Unicode MS"/>
                    <w:sz w:val="20"/>
                    <w:szCs w:val="20"/>
                    <w:highlight w:val="white"/>
                  </w:rPr>
                  <w:t>● Assessment details: The indicator can be evaluated by verifying that the link to the licence resolves to a machine-understandable expression of the conditions. An example of such a machine-understandable expression is the RDF expression of Creative Commons licences, or the various serialisations of the Open Data Rights Language (ODRL).</w:t>
                </w:r>
              </w:sdtContent>
            </w:sdt>
          </w:p>
        </w:tc>
        <w:tc>
          <w:tcPr>
            <w:tcW w:w="1260" w:type="dxa"/>
            <w:shd w:val="clear" w:color="auto" w:fill="auto"/>
            <w:tcMar>
              <w:top w:w="100" w:type="dxa"/>
              <w:left w:w="100" w:type="dxa"/>
              <w:bottom w:w="100" w:type="dxa"/>
              <w:right w:w="100" w:type="dxa"/>
            </w:tcMar>
          </w:tcPr>
          <w:p w14:paraId="40B55EF7" w14:textId="77777777" w:rsidR="00BC388A" w:rsidRDefault="00140473">
            <w:pPr>
              <w:widowControl w:val="0"/>
              <w:spacing w:after="0" w:line="240" w:lineRule="auto"/>
              <w:jc w:val="left"/>
              <w:rPr>
                <w:b/>
                <w:color w:val="FF9900"/>
              </w:rPr>
            </w:pPr>
            <w:r>
              <w:rPr>
                <w:b/>
                <w:color w:val="FF9900"/>
              </w:rPr>
              <w:t>Important</w:t>
            </w:r>
          </w:p>
        </w:tc>
        <w:tc>
          <w:tcPr>
            <w:tcW w:w="1080" w:type="dxa"/>
            <w:shd w:val="clear" w:color="auto" w:fill="auto"/>
            <w:tcMar>
              <w:top w:w="100" w:type="dxa"/>
              <w:left w:w="100" w:type="dxa"/>
              <w:bottom w:w="100" w:type="dxa"/>
              <w:right w:w="100" w:type="dxa"/>
            </w:tcMar>
          </w:tcPr>
          <w:p w14:paraId="0908FD21" w14:textId="77777777" w:rsidR="00BC388A" w:rsidRDefault="00140473">
            <w:pPr>
              <w:widowControl w:val="0"/>
              <w:spacing w:after="0" w:line="240" w:lineRule="auto"/>
              <w:jc w:val="left"/>
            </w:pPr>
            <w:r>
              <w:t>TRUE/FALSE</w:t>
            </w:r>
          </w:p>
        </w:tc>
      </w:tr>
      <w:tr w:rsidR="00BC388A" w14:paraId="744600A1" w14:textId="77777777">
        <w:tc>
          <w:tcPr>
            <w:tcW w:w="6735" w:type="dxa"/>
            <w:shd w:val="clear" w:color="auto" w:fill="auto"/>
            <w:tcMar>
              <w:top w:w="100" w:type="dxa"/>
              <w:left w:w="100" w:type="dxa"/>
              <w:bottom w:w="100" w:type="dxa"/>
              <w:right w:w="100" w:type="dxa"/>
            </w:tcMar>
          </w:tcPr>
          <w:p w14:paraId="0DD191EA" w14:textId="77777777" w:rsidR="00BC388A" w:rsidRDefault="00140473">
            <w:pPr>
              <w:widowControl w:val="0"/>
              <w:spacing w:after="0" w:line="240" w:lineRule="auto"/>
              <w:jc w:val="left"/>
            </w:pPr>
            <w:r>
              <w:rPr>
                <w:b/>
                <w:color w:val="F07E19"/>
              </w:rPr>
              <w:t>RDA-R1.2-01M</w:t>
            </w:r>
            <w:r>
              <w:t xml:space="preserve"> Metadata includes provenance information according to community-specific standards.</w:t>
            </w:r>
          </w:p>
          <w:p w14:paraId="3BD76C04"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96"/>
                <w:id w:val="-860199620"/>
              </w:sdtPr>
              <w:sdtEndPr/>
              <w:sdtContent>
                <w:r w:rsidR="00140473">
                  <w:rPr>
                    <w:rFonts w:ascii="Arial Unicode MS" w:eastAsia="Arial Unicode MS" w:hAnsi="Arial Unicode MS" w:cs="Arial Unicode MS"/>
                    <w:sz w:val="20"/>
                    <w:szCs w:val="20"/>
                    <w:highlight w:val="white"/>
                  </w:rPr>
                  <w:t>● Principle: R1.2: (Meta)data are associated with detailed provenance.</w:t>
                </w:r>
              </w:sdtContent>
            </w:sdt>
          </w:p>
          <w:p w14:paraId="52579D29"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97"/>
                <w:id w:val="291480304"/>
              </w:sdtPr>
              <w:sdtEndPr/>
              <w:sdtContent>
                <w:r w:rsidR="00140473">
                  <w:rPr>
                    <w:rFonts w:ascii="Arial Unicode MS" w:eastAsia="Arial Unicode MS" w:hAnsi="Arial Unicode MS" w:cs="Arial Unicode MS"/>
                    <w:sz w:val="20"/>
                    <w:szCs w:val="20"/>
                    <w:highlight w:val="white"/>
                  </w:rPr>
                  <w:t>● Description: This indicator requires the metadata to include information about the provenance of the data, i.e. information about the origin, history or workflow that generated the data, in a way that is compliant with the standards that are used in the community for which the data is curated.</w:t>
                </w:r>
              </w:sdtContent>
            </w:sdt>
          </w:p>
          <w:p w14:paraId="06350138"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98"/>
                <w:id w:val="681861413"/>
              </w:sdtPr>
              <w:sdtEndPr/>
              <w:sdtContent>
                <w:r w:rsidR="00140473">
                  <w:rPr>
                    <w:rFonts w:ascii="Arial Unicode MS" w:eastAsia="Arial Unicode MS" w:hAnsi="Arial Unicode MS" w:cs="Arial Unicode MS"/>
                    <w:sz w:val="20"/>
                    <w:szCs w:val="20"/>
                    <w:highlight w:val="white"/>
                  </w:rPr>
                  <w:t>● Assessment details:  The indicator can be evaluated by verifying that the licence is indeed a standard licence. Examples of standard licences are: Creative Commons licences, Open Data Commons.</w:t>
                </w:r>
              </w:sdtContent>
            </w:sdt>
          </w:p>
        </w:tc>
        <w:tc>
          <w:tcPr>
            <w:tcW w:w="1260" w:type="dxa"/>
            <w:shd w:val="clear" w:color="auto" w:fill="auto"/>
            <w:tcMar>
              <w:top w:w="100" w:type="dxa"/>
              <w:left w:w="100" w:type="dxa"/>
              <w:bottom w:w="100" w:type="dxa"/>
              <w:right w:w="100" w:type="dxa"/>
            </w:tcMar>
          </w:tcPr>
          <w:p w14:paraId="3A7C7439" w14:textId="77777777" w:rsidR="00BC388A" w:rsidRDefault="00140473">
            <w:pPr>
              <w:widowControl w:val="0"/>
              <w:spacing w:after="0" w:line="240" w:lineRule="auto"/>
              <w:jc w:val="left"/>
              <w:rPr>
                <w:b/>
                <w:color w:val="FF9900"/>
              </w:rPr>
            </w:pPr>
            <w:r>
              <w:rPr>
                <w:b/>
                <w:color w:val="FF9900"/>
              </w:rPr>
              <w:t>Important</w:t>
            </w:r>
          </w:p>
        </w:tc>
        <w:tc>
          <w:tcPr>
            <w:tcW w:w="1080" w:type="dxa"/>
            <w:shd w:val="clear" w:color="auto" w:fill="auto"/>
            <w:tcMar>
              <w:top w:w="100" w:type="dxa"/>
              <w:left w:w="100" w:type="dxa"/>
              <w:bottom w:w="100" w:type="dxa"/>
              <w:right w:w="100" w:type="dxa"/>
            </w:tcMar>
          </w:tcPr>
          <w:p w14:paraId="53836EFF" w14:textId="77777777" w:rsidR="00BC388A" w:rsidRDefault="00140473">
            <w:pPr>
              <w:widowControl w:val="0"/>
              <w:spacing w:after="0" w:line="240" w:lineRule="auto"/>
              <w:jc w:val="left"/>
            </w:pPr>
            <w:r>
              <w:t>TRUE/FALSE</w:t>
            </w:r>
          </w:p>
        </w:tc>
      </w:tr>
      <w:tr w:rsidR="00BC388A" w14:paraId="6E804BD1" w14:textId="77777777">
        <w:tc>
          <w:tcPr>
            <w:tcW w:w="6735" w:type="dxa"/>
            <w:shd w:val="clear" w:color="auto" w:fill="auto"/>
            <w:tcMar>
              <w:top w:w="100" w:type="dxa"/>
              <w:left w:w="100" w:type="dxa"/>
              <w:bottom w:w="100" w:type="dxa"/>
              <w:right w:w="100" w:type="dxa"/>
            </w:tcMar>
          </w:tcPr>
          <w:p w14:paraId="3C931215" w14:textId="77777777" w:rsidR="00BC388A" w:rsidRDefault="00140473">
            <w:pPr>
              <w:widowControl w:val="0"/>
              <w:spacing w:after="0" w:line="240" w:lineRule="auto"/>
              <w:jc w:val="left"/>
            </w:pPr>
            <w:r>
              <w:rPr>
                <w:b/>
                <w:color w:val="0000FF"/>
              </w:rPr>
              <w:t>RDA-R1.2-02M</w:t>
            </w:r>
            <w:r>
              <w:t xml:space="preserve"> Metadata includes provenance information according to a cross-community language.</w:t>
            </w:r>
          </w:p>
          <w:p w14:paraId="71297130"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99"/>
                <w:id w:val="446591529"/>
              </w:sdtPr>
              <w:sdtEndPr/>
              <w:sdtContent>
                <w:r w:rsidR="00140473">
                  <w:rPr>
                    <w:rFonts w:ascii="Arial Unicode MS" w:eastAsia="Arial Unicode MS" w:hAnsi="Arial Unicode MS" w:cs="Arial Unicode MS"/>
                    <w:sz w:val="20"/>
                    <w:szCs w:val="20"/>
                    <w:highlight w:val="white"/>
                  </w:rPr>
                  <w:t>● Principle: R1.2: (Meta)data are associated with detailed provenance.</w:t>
                </w:r>
              </w:sdtContent>
            </w:sdt>
          </w:p>
          <w:p w14:paraId="5DE83C2A"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100"/>
                <w:id w:val="-695233480"/>
              </w:sdtPr>
              <w:sdtEndPr/>
              <w:sdtContent>
                <w:r w:rsidR="00140473">
                  <w:rPr>
                    <w:rFonts w:ascii="Arial Unicode MS" w:eastAsia="Arial Unicode MS" w:hAnsi="Arial Unicode MS" w:cs="Arial Unicode MS"/>
                    <w:sz w:val="20"/>
                    <w:szCs w:val="20"/>
                    <w:highlight w:val="white"/>
                  </w:rPr>
                  <w:t>● Description: This indicator requires that the metadata provides provenance information according to a cross-domain language.</w:t>
                </w:r>
              </w:sdtContent>
            </w:sdt>
          </w:p>
          <w:p w14:paraId="31590FAB"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101"/>
                <w:id w:val="1998763484"/>
              </w:sdtPr>
              <w:sdtEndPr/>
              <w:sdtContent>
                <w:r w:rsidR="00140473">
                  <w:rPr>
                    <w:rFonts w:ascii="Arial Unicode MS" w:eastAsia="Arial Unicode MS" w:hAnsi="Arial Unicode MS" w:cs="Arial Unicode MS"/>
                    <w:sz w:val="20"/>
                    <w:szCs w:val="20"/>
                    <w:highlight w:val="white"/>
                  </w:rPr>
                  <w:t>● Assessment details: The indicator can be evaluated by assessing whether a cross-domain language is used for provenance information (such as PROV-O).</w:t>
                </w:r>
              </w:sdtContent>
            </w:sdt>
          </w:p>
        </w:tc>
        <w:tc>
          <w:tcPr>
            <w:tcW w:w="1260" w:type="dxa"/>
            <w:shd w:val="clear" w:color="auto" w:fill="auto"/>
            <w:tcMar>
              <w:top w:w="100" w:type="dxa"/>
              <w:left w:w="100" w:type="dxa"/>
              <w:bottom w:w="100" w:type="dxa"/>
              <w:right w:w="100" w:type="dxa"/>
            </w:tcMar>
          </w:tcPr>
          <w:p w14:paraId="40BAE8FD" w14:textId="77777777" w:rsidR="00BC388A" w:rsidRDefault="00140473">
            <w:pPr>
              <w:widowControl w:val="0"/>
              <w:spacing w:after="0" w:line="240" w:lineRule="auto"/>
              <w:jc w:val="left"/>
              <w:rPr>
                <w:b/>
              </w:rPr>
            </w:pPr>
            <w:r>
              <w:rPr>
                <w:b/>
                <w:color w:val="0000FF"/>
              </w:rPr>
              <w:t>Useful</w:t>
            </w:r>
          </w:p>
        </w:tc>
        <w:tc>
          <w:tcPr>
            <w:tcW w:w="1080" w:type="dxa"/>
            <w:shd w:val="clear" w:color="auto" w:fill="auto"/>
            <w:tcMar>
              <w:top w:w="100" w:type="dxa"/>
              <w:left w:w="100" w:type="dxa"/>
              <w:bottom w:w="100" w:type="dxa"/>
              <w:right w:w="100" w:type="dxa"/>
            </w:tcMar>
          </w:tcPr>
          <w:p w14:paraId="5D8911E4" w14:textId="77777777" w:rsidR="00BC388A" w:rsidRDefault="00140473">
            <w:pPr>
              <w:widowControl w:val="0"/>
              <w:spacing w:after="0" w:line="240" w:lineRule="auto"/>
              <w:jc w:val="left"/>
            </w:pPr>
            <w:r>
              <w:t>TRUE/FALSE</w:t>
            </w:r>
          </w:p>
        </w:tc>
      </w:tr>
      <w:tr w:rsidR="00BC388A" w14:paraId="55AB66A6" w14:textId="77777777">
        <w:tc>
          <w:tcPr>
            <w:tcW w:w="6735" w:type="dxa"/>
            <w:shd w:val="clear" w:color="auto" w:fill="auto"/>
            <w:tcMar>
              <w:top w:w="100" w:type="dxa"/>
              <w:left w:w="100" w:type="dxa"/>
              <w:bottom w:w="100" w:type="dxa"/>
              <w:right w:w="100" w:type="dxa"/>
            </w:tcMar>
          </w:tcPr>
          <w:p w14:paraId="4AE971A8" w14:textId="77777777" w:rsidR="00BC388A" w:rsidRDefault="00140473">
            <w:pPr>
              <w:widowControl w:val="0"/>
              <w:spacing w:after="0" w:line="240" w:lineRule="auto"/>
              <w:jc w:val="left"/>
            </w:pPr>
            <w:r>
              <w:rPr>
                <w:b/>
                <w:color w:val="FF0000"/>
              </w:rPr>
              <w:t>RDA-R1.3-01M</w:t>
            </w:r>
            <w:r>
              <w:t xml:space="preserve"> Metadata complies with a community standard.</w:t>
            </w:r>
          </w:p>
          <w:p w14:paraId="78BA270C"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102"/>
                <w:id w:val="318470603"/>
              </w:sdtPr>
              <w:sdtEndPr/>
              <w:sdtContent>
                <w:r w:rsidR="00140473">
                  <w:rPr>
                    <w:rFonts w:ascii="Arial Unicode MS" w:eastAsia="Arial Unicode MS" w:hAnsi="Arial Unicode MS" w:cs="Arial Unicode MS"/>
                    <w:sz w:val="20"/>
                    <w:szCs w:val="20"/>
                    <w:highlight w:val="white"/>
                  </w:rPr>
                  <w:t>● Principle: R1.3: (Meta)data meet domain-relevant community standards.</w:t>
                </w:r>
              </w:sdtContent>
            </w:sdt>
          </w:p>
          <w:p w14:paraId="18790294"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103"/>
                <w:id w:val="-1341851079"/>
              </w:sdtPr>
              <w:sdtEndPr/>
              <w:sdtContent>
                <w:r w:rsidR="00140473">
                  <w:rPr>
                    <w:rFonts w:ascii="Arial Unicode MS" w:eastAsia="Arial Unicode MS" w:hAnsi="Arial Unicode MS" w:cs="Arial Unicode MS"/>
                    <w:sz w:val="20"/>
                    <w:szCs w:val="20"/>
                    <w:highlight w:val="white"/>
                  </w:rPr>
                  <w:t>● Description: This indicator requires that metadata complies with community standards.</w:t>
                </w:r>
              </w:sdtContent>
            </w:sdt>
          </w:p>
          <w:p w14:paraId="7564AE1F"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104"/>
                <w:id w:val="-1189447674"/>
              </w:sdtPr>
              <w:sdtEndPr/>
              <w:sdtContent>
                <w:r w:rsidR="00140473">
                  <w:rPr>
                    <w:rFonts w:ascii="Arial Unicode MS" w:eastAsia="Arial Unicode MS" w:hAnsi="Arial Unicode MS" w:cs="Arial Unicode MS"/>
                    <w:sz w:val="20"/>
                    <w:szCs w:val="20"/>
                    <w:highlight w:val="white"/>
                  </w:rPr>
                  <w:t xml:space="preserve">● Assessment details:  The indicator can be evaluated by verifying that the metadata follows a community standard. A service like the RDA-endorsed </w:t>
                </w:r>
                <w:proofErr w:type="spellStart"/>
                <w:r w:rsidR="00140473">
                  <w:rPr>
                    <w:rFonts w:ascii="Arial Unicode MS" w:eastAsia="Arial Unicode MS" w:hAnsi="Arial Unicode MS" w:cs="Arial Unicode MS"/>
                    <w:sz w:val="20"/>
                    <w:szCs w:val="20"/>
                    <w:highlight w:val="white"/>
                  </w:rPr>
                  <w:t>FAIRsharing</w:t>
                </w:r>
                <w:proofErr w:type="spellEnd"/>
                <w:r w:rsidR="00140473">
                  <w:rPr>
                    <w:rFonts w:ascii="Arial Unicode MS" w:eastAsia="Arial Unicode MS" w:hAnsi="Arial Unicode MS" w:cs="Arial Unicode MS"/>
                    <w:sz w:val="20"/>
                    <w:szCs w:val="20"/>
                    <w:highlight w:val="white"/>
                  </w:rPr>
                  <w:t xml:space="preserve"> or the Metadata Standards </w:t>
                </w:r>
                <w:proofErr w:type="spellStart"/>
                <w:r w:rsidR="00140473">
                  <w:rPr>
                    <w:rFonts w:ascii="Arial Unicode MS" w:eastAsia="Arial Unicode MS" w:hAnsi="Arial Unicode MS" w:cs="Arial Unicode MS"/>
                    <w:sz w:val="20"/>
                    <w:szCs w:val="20"/>
                    <w:highlight w:val="white"/>
                  </w:rPr>
                  <w:t>Catalog</w:t>
                </w:r>
                <w:proofErr w:type="spellEnd"/>
                <w:r w:rsidR="00140473">
                  <w:rPr>
                    <w:rFonts w:ascii="Arial Unicode MS" w:eastAsia="Arial Unicode MS" w:hAnsi="Arial Unicode MS" w:cs="Arial Unicode MS"/>
                    <w:sz w:val="20"/>
                    <w:szCs w:val="20"/>
                    <w:highlight w:val="white"/>
                  </w:rPr>
                  <w:t xml:space="preserve"> could be helpful to identify the relevant standards.</w:t>
                </w:r>
              </w:sdtContent>
            </w:sdt>
          </w:p>
        </w:tc>
        <w:tc>
          <w:tcPr>
            <w:tcW w:w="1260" w:type="dxa"/>
            <w:shd w:val="clear" w:color="auto" w:fill="auto"/>
            <w:tcMar>
              <w:top w:w="100" w:type="dxa"/>
              <w:left w:w="100" w:type="dxa"/>
              <w:bottom w:w="100" w:type="dxa"/>
              <w:right w:w="100" w:type="dxa"/>
            </w:tcMar>
          </w:tcPr>
          <w:p w14:paraId="3278CA9B" w14:textId="77777777" w:rsidR="00BC388A" w:rsidRDefault="00140473">
            <w:pPr>
              <w:widowControl w:val="0"/>
              <w:spacing w:after="0" w:line="240" w:lineRule="auto"/>
              <w:jc w:val="left"/>
              <w:rPr>
                <w:b/>
              </w:rPr>
            </w:pPr>
            <w:r>
              <w:rPr>
                <w:b/>
                <w:color w:val="FF0000"/>
              </w:rPr>
              <w:t>Essential</w:t>
            </w:r>
          </w:p>
        </w:tc>
        <w:tc>
          <w:tcPr>
            <w:tcW w:w="1080" w:type="dxa"/>
            <w:shd w:val="clear" w:color="auto" w:fill="auto"/>
            <w:tcMar>
              <w:top w:w="100" w:type="dxa"/>
              <w:left w:w="100" w:type="dxa"/>
              <w:bottom w:w="100" w:type="dxa"/>
              <w:right w:w="100" w:type="dxa"/>
            </w:tcMar>
          </w:tcPr>
          <w:p w14:paraId="5F017326" w14:textId="77777777" w:rsidR="00BC388A" w:rsidRDefault="00140473">
            <w:pPr>
              <w:widowControl w:val="0"/>
              <w:spacing w:after="0" w:line="240" w:lineRule="auto"/>
              <w:jc w:val="left"/>
            </w:pPr>
            <w:r>
              <w:t>TRUE/FALSE</w:t>
            </w:r>
          </w:p>
        </w:tc>
      </w:tr>
      <w:tr w:rsidR="00BC388A" w14:paraId="02667996" w14:textId="77777777">
        <w:tc>
          <w:tcPr>
            <w:tcW w:w="6735" w:type="dxa"/>
            <w:shd w:val="clear" w:color="auto" w:fill="auto"/>
            <w:tcMar>
              <w:top w:w="100" w:type="dxa"/>
              <w:left w:w="100" w:type="dxa"/>
              <w:bottom w:w="100" w:type="dxa"/>
              <w:right w:w="100" w:type="dxa"/>
            </w:tcMar>
          </w:tcPr>
          <w:p w14:paraId="2B8DD316" w14:textId="77777777" w:rsidR="00BC388A" w:rsidRDefault="00140473">
            <w:pPr>
              <w:widowControl w:val="0"/>
              <w:spacing w:after="0" w:line="240" w:lineRule="auto"/>
              <w:jc w:val="left"/>
            </w:pPr>
            <w:r>
              <w:rPr>
                <w:b/>
                <w:color w:val="FF0000"/>
              </w:rPr>
              <w:t>RDA-R1.3-01D</w:t>
            </w:r>
            <w:r>
              <w:t xml:space="preserve"> Data complies with a community standard.</w:t>
            </w:r>
          </w:p>
          <w:p w14:paraId="7AE7B23A"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105"/>
                <w:id w:val="-615142748"/>
              </w:sdtPr>
              <w:sdtEndPr/>
              <w:sdtContent>
                <w:r w:rsidR="00140473">
                  <w:rPr>
                    <w:rFonts w:ascii="Arial Unicode MS" w:eastAsia="Arial Unicode MS" w:hAnsi="Arial Unicode MS" w:cs="Arial Unicode MS"/>
                    <w:sz w:val="20"/>
                    <w:szCs w:val="20"/>
                    <w:highlight w:val="white"/>
                  </w:rPr>
                  <w:t>● Principle: R1.3: (Meta)data meet domain-relevant community standards.</w:t>
                </w:r>
              </w:sdtContent>
            </w:sdt>
          </w:p>
          <w:p w14:paraId="25AD66F7"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106"/>
                <w:id w:val="-1069115156"/>
              </w:sdtPr>
              <w:sdtEndPr/>
              <w:sdtContent>
                <w:r w:rsidR="00140473">
                  <w:rPr>
                    <w:rFonts w:ascii="Arial Unicode MS" w:eastAsia="Arial Unicode MS" w:hAnsi="Arial Unicode MS" w:cs="Arial Unicode MS"/>
                    <w:sz w:val="20"/>
                    <w:szCs w:val="20"/>
                    <w:highlight w:val="white"/>
                  </w:rPr>
                  <w:t>● Description: This indicator requires that data complies with community standards.</w:t>
                </w:r>
              </w:sdtContent>
            </w:sdt>
          </w:p>
          <w:p w14:paraId="0853CA01"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107"/>
                <w:id w:val="-397293920"/>
              </w:sdtPr>
              <w:sdtEndPr/>
              <w:sdtContent>
                <w:r w:rsidR="00140473">
                  <w:rPr>
                    <w:rFonts w:ascii="Arial Unicode MS" w:eastAsia="Arial Unicode MS" w:hAnsi="Arial Unicode MS" w:cs="Arial Unicode MS"/>
                    <w:sz w:val="20"/>
                    <w:szCs w:val="20"/>
                    <w:highlight w:val="white"/>
                  </w:rPr>
                  <w:t>● Assessment details: The indicator can be evaluated by verifying that the data follows a community standard. A service like the RDA-</w:t>
                </w:r>
                <w:r w:rsidR="00140473">
                  <w:rPr>
                    <w:rFonts w:ascii="Arial Unicode MS" w:eastAsia="Arial Unicode MS" w:hAnsi="Arial Unicode MS" w:cs="Arial Unicode MS"/>
                    <w:sz w:val="20"/>
                    <w:szCs w:val="20"/>
                    <w:highlight w:val="white"/>
                  </w:rPr>
                  <w:lastRenderedPageBreak/>
                  <w:t xml:space="preserve">endorsed </w:t>
                </w:r>
                <w:proofErr w:type="spellStart"/>
                <w:r w:rsidR="00140473">
                  <w:rPr>
                    <w:rFonts w:ascii="Arial Unicode MS" w:eastAsia="Arial Unicode MS" w:hAnsi="Arial Unicode MS" w:cs="Arial Unicode MS"/>
                    <w:sz w:val="20"/>
                    <w:szCs w:val="20"/>
                    <w:highlight w:val="white"/>
                  </w:rPr>
                  <w:t>FAIRsharing</w:t>
                </w:r>
                <w:proofErr w:type="spellEnd"/>
                <w:r w:rsidR="00140473">
                  <w:rPr>
                    <w:rFonts w:ascii="Arial Unicode MS" w:eastAsia="Arial Unicode MS" w:hAnsi="Arial Unicode MS" w:cs="Arial Unicode MS"/>
                    <w:sz w:val="20"/>
                    <w:szCs w:val="20"/>
                    <w:highlight w:val="white"/>
                  </w:rPr>
                  <w:t xml:space="preserve"> could be helpful to </w:t>
                </w:r>
              </w:sdtContent>
            </w:sdt>
          </w:p>
          <w:p w14:paraId="11794BA7" w14:textId="77777777" w:rsidR="00BC388A" w:rsidRDefault="00140473">
            <w:pPr>
              <w:widowControl w:val="0"/>
              <w:spacing w:after="0" w:line="240" w:lineRule="auto"/>
              <w:jc w:val="left"/>
              <w:rPr>
                <w:rFonts w:ascii="Roboto" w:eastAsia="Roboto" w:hAnsi="Roboto" w:cs="Roboto"/>
                <w:sz w:val="20"/>
                <w:szCs w:val="20"/>
                <w:highlight w:val="white"/>
              </w:rPr>
            </w:pPr>
            <w:r>
              <w:rPr>
                <w:rFonts w:ascii="Roboto" w:eastAsia="Roboto" w:hAnsi="Roboto" w:cs="Roboto"/>
                <w:sz w:val="20"/>
                <w:szCs w:val="20"/>
                <w:highlight w:val="white"/>
              </w:rPr>
              <w:t>identify the relevant standards.</w:t>
            </w:r>
          </w:p>
        </w:tc>
        <w:tc>
          <w:tcPr>
            <w:tcW w:w="1260" w:type="dxa"/>
            <w:shd w:val="clear" w:color="auto" w:fill="auto"/>
            <w:tcMar>
              <w:top w:w="100" w:type="dxa"/>
              <w:left w:w="100" w:type="dxa"/>
              <w:bottom w:w="100" w:type="dxa"/>
              <w:right w:w="100" w:type="dxa"/>
            </w:tcMar>
          </w:tcPr>
          <w:p w14:paraId="7557FD7D" w14:textId="77777777" w:rsidR="00BC388A" w:rsidRDefault="00140473">
            <w:pPr>
              <w:widowControl w:val="0"/>
              <w:spacing w:after="0" w:line="240" w:lineRule="auto"/>
              <w:jc w:val="left"/>
              <w:rPr>
                <w:b/>
                <w:color w:val="274E13"/>
              </w:rPr>
            </w:pPr>
            <w:r>
              <w:rPr>
                <w:b/>
                <w:color w:val="FF0000"/>
              </w:rPr>
              <w:lastRenderedPageBreak/>
              <w:t>Essential</w:t>
            </w:r>
          </w:p>
        </w:tc>
        <w:tc>
          <w:tcPr>
            <w:tcW w:w="1080" w:type="dxa"/>
            <w:shd w:val="clear" w:color="auto" w:fill="auto"/>
            <w:tcMar>
              <w:top w:w="100" w:type="dxa"/>
              <w:left w:w="100" w:type="dxa"/>
              <w:bottom w:w="100" w:type="dxa"/>
              <w:right w:w="100" w:type="dxa"/>
            </w:tcMar>
          </w:tcPr>
          <w:p w14:paraId="4BA48A9D" w14:textId="77777777" w:rsidR="00BC388A" w:rsidRDefault="00140473">
            <w:pPr>
              <w:widowControl w:val="0"/>
              <w:spacing w:after="0" w:line="240" w:lineRule="auto"/>
              <w:jc w:val="left"/>
            </w:pPr>
            <w:r>
              <w:t>TRUE/FALSE</w:t>
            </w:r>
          </w:p>
        </w:tc>
      </w:tr>
      <w:tr w:rsidR="00BC388A" w14:paraId="54778A08" w14:textId="77777777">
        <w:tc>
          <w:tcPr>
            <w:tcW w:w="6735" w:type="dxa"/>
            <w:shd w:val="clear" w:color="auto" w:fill="auto"/>
            <w:tcMar>
              <w:top w:w="100" w:type="dxa"/>
              <w:left w:w="100" w:type="dxa"/>
              <w:bottom w:w="100" w:type="dxa"/>
              <w:right w:w="100" w:type="dxa"/>
            </w:tcMar>
          </w:tcPr>
          <w:p w14:paraId="30532D16" w14:textId="77777777" w:rsidR="00BC388A" w:rsidRDefault="00140473">
            <w:pPr>
              <w:widowControl w:val="0"/>
              <w:spacing w:after="0" w:line="240" w:lineRule="auto"/>
              <w:jc w:val="left"/>
            </w:pPr>
            <w:r>
              <w:rPr>
                <w:b/>
                <w:color w:val="FF0000"/>
              </w:rPr>
              <w:t>RDA-R1.3-02M</w:t>
            </w:r>
            <w:r>
              <w:t xml:space="preserve"> Metadata is expressed in compliance with a machine-understandable community standard.</w:t>
            </w:r>
          </w:p>
          <w:p w14:paraId="01F56450"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108"/>
                <w:id w:val="1037933339"/>
              </w:sdtPr>
              <w:sdtEndPr/>
              <w:sdtContent>
                <w:r w:rsidR="00140473">
                  <w:rPr>
                    <w:rFonts w:ascii="Arial Unicode MS" w:eastAsia="Arial Unicode MS" w:hAnsi="Arial Unicode MS" w:cs="Arial Unicode MS"/>
                    <w:sz w:val="20"/>
                    <w:szCs w:val="20"/>
                    <w:highlight w:val="white"/>
                  </w:rPr>
                  <w:t>● Principle: R1.3: (Meta)data meet domain-relevant community standards.</w:t>
                </w:r>
              </w:sdtContent>
            </w:sdt>
          </w:p>
          <w:p w14:paraId="3E1607D6"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109"/>
                <w:id w:val="-1186437473"/>
              </w:sdtPr>
              <w:sdtEndPr/>
              <w:sdtContent>
                <w:r w:rsidR="00140473">
                  <w:rPr>
                    <w:rFonts w:ascii="Arial Unicode MS" w:eastAsia="Arial Unicode MS" w:hAnsi="Arial Unicode MS" w:cs="Arial Unicode MS"/>
                    <w:sz w:val="20"/>
                    <w:szCs w:val="20"/>
                    <w:highlight w:val="white"/>
                  </w:rPr>
                  <w:t>● Description: This indicator requires that the metadata follows a community standard that has a machine-understandable expression.</w:t>
                </w:r>
              </w:sdtContent>
            </w:sdt>
          </w:p>
          <w:p w14:paraId="6E376E1D"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110"/>
                <w:id w:val="1264735447"/>
              </w:sdtPr>
              <w:sdtEndPr/>
              <w:sdtContent>
                <w:r w:rsidR="00140473">
                  <w:rPr>
                    <w:rFonts w:ascii="Arial Unicode MS" w:eastAsia="Arial Unicode MS" w:hAnsi="Arial Unicode MS" w:cs="Arial Unicode MS"/>
                    <w:sz w:val="20"/>
                    <w:szCs w:val="20"/>
                    <w:highlight w:val="white"/>
                  </w:rPr>
                  <w:t>● Assessment details: This indicator can be evaluated by verifying that the community standard used for the metadata has a machine-understandable expression.</w:t>
                </w:r>
              </w:sdtContent>
            </w:sdt>
          </w:p>
        </w:tc>
        <w:tc>
          <w:tcPr>
            <w:tcW w:w="1260" w:type="dxa"/>
            <w:shd w:val="clear" w:color="auto" w:fill="auto"/>
            <w:tcMar>
              <w:top w:w="100" w:type="dxa"/>
              <w:left w:w="100" w:type="dxa"/>
              <w:bottom w:w="100" w:type="dxa"/>
              <w:right w:w="100" w:type="dxa"/>
            </w:tcMar>
          </w:tcPr>
          <w:p w14:paraId="5F88496A" w14:textId="77777777" w:rsidR="00BC388A" w:rsidRDefault="00140473">
            <w:pPr>
              <w:widowControl w:val="0"/>
              <w:spacing w:after="0" w:line="240" w:lineRule="auto"/>
              <w:jc w:val="left"/>
              <w:rPr>
                <w:b/>
                <w:color w:val="FF0000"/>
              </w:rPr>
            </w:pPr>
            <w:r>
              <w:rPr>
                <w:b/>
                <w:color w:val="FF0000"/>
              </w:rPr>
              <w:t>Essential</w:t>
            </w:r>
          </w:p>
        </w:tc>
        <w:tc>
          <w:tcPr>
            <w:tcW w:w="1080" w:type="dxa"/>
            <w:shd w:val="clear" w:color="auto" w:fill="auto"/>
            <w:tcMar>
              <w:top w:w="100" w:type="dxa"/>
              <w:left w:w="100" w:type="dxa"/>
              <w:bottom w:w="100" w:type="dxa"/>
              <w:right w:w="100" w:type="dxa"/>
            </w:tcMar>
          </w:tcPr>
          <w:p w14:paraId="0A756385" w14:textId="77777777" w:rsidR="00BC388A" w:rsidRDefault="00140473">
            <w:pPr>
              <w:widowControl w:val="0"/>
              <w:spacing w:after="0" w:line="240" w:lineRule="auto"/>
              <w:jc w:val="left"/>
            </w:pPr>
            <w:r>
              <w:t>TRUE/FALSE</w:t>
            </w:r>
          </w:p>
        </w:tc>
      </w:tr>
      <w:tr w:rsidR="00BC388A" w14:paraId="55564935" w14:textId="77777777">
        <w:tc>
          <w:tcPr>
            <w:tcW w:w="6735" w:type="dxa"/>
            <w:shd w:val="clear" w:color="auto" w:fill="auto"/>
            <w:tcMar>
              <w:top w:w="100" w:type="dxa"/>
              <w:left w:w="100" w:type="dxa"/>
              <w:bottom w:w="100" w:type="dxa"/>
              <w:right w:w="100" w:type="dxa"/>
            </w:tcMar>
          </w:tcPr>
          <w:p w14:paraId="08F72EE6" w14:textId="77777777" w:rsidR="00BC388A" w:rsidRDefault="00140473">
            <w:pPr>
              <w:widowControl w:val="0"/>
              <w:spacing w:after="0" w:line="240" w:lineRule="auto"/>
              <w:jc w:val="left"/>
            </w:pPr>
            <w:r>
              <w:rPr>
                <w:b/>
                <w:color w:val="F07E19"/>
              </w:rPr>
              <w:t>RDA-R1.3-02D</w:t>
            </w:r>
            <w:r>
              <w:t xml:space="preserve"> Data is expressed in compliance with a machine-understandable community standard.</w:t>
            </w:r>
          </w:p>
          <w:p w14:paraId="0DCEE6CE"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111"/>
                <w:id w:val="352843168"/>
              </w:sdtPr>
              <w:sdtEndPr/>
              <w:sdtContent>
                <w:r w:rsidR="00140473">
                  <w:rPr>
                    <w:rFonts w:ascii="Arial Unicode MS" w:eastAsia="Arial Unicode MS" w:hAnsi="Arial Unicode MS" w:cs="Arial Unicode MS"/>
                    <w:sz w:val="20"/>
                    <w:szCs w:val="20"/>
                    <w:highlight w:val="white"/>
                  </w:rPr>
                  <w:t>● Principle: R1.3: (Meta)data meet domain-relevant community standards.</w:t>
                </w:r>
              </w:sdtContent>
            </w:sdt>
          </w:p>
          <w:p w14:paraId="5579179E"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112"/>
                <w:id w:val="1723322305"/>
              </w:sdtPr>
              <w:sdtEndPr/>
              <w:sdtContent>
                <w:r w:rsidR="00140473">
                  <w:rPr>
                    <w:rFonts w:ascii="Arial Unicode MS" w:eastAsia="Arial Unicode MS" w:hAnsi="Arial Unicode MS" w:cs="Arial Unicode MS"/>
                    <w:sz w:val="20"/>
                    <w:szCs w:val="20"/>
                    <w:highlight w:val="white"/>
                  </w:rPr>
                  <w:t>● Description: This indicator requires that the data follows a community standard that has a machine-understandable expression.</w:t>
                </w:r>
              </w:sdtContent>
            </w:sdt>
          </w:p>
          <w:p w14:paraId="218BFDBD" w14:textId="77777777" w:rsidR="00BC388A" w:rsidRDefault="00737C5A">
            <w:pPr>
              <w:widowControl w:val="0"/>
              <w:spacing w:after="0" w:line="240" w:lineRule="auto"/>
              <w:jc w:val="left"/>
              <w:rPr>
                <w:rFonts w:ascii="Roboto" w:eastAsia="Roboto" w:hAnsi="Roboto" w:cs="Roboto"/>
                <w:sz w:val="20"/>
                <w:szCs w:val="20"/>
                <w:highlight w:val="white"/>
              </w:rPr>
            </w:pPr>
            <w:sdt>
              <w:sdtPr>
                <w:tag w:val="goog_rdk_113"/>
                <w:id w:val="-1726221605"/>
              </w:sdtPr>
              <w:sdtEndPr/>
              <w:sdtContent>
                <w:r w:rsidR="00140473">
                  <w:rPr>
                    <w:rFonts w:ascii="Arial Unicode MS" w:eastAsia="Arial Unicode MS" w:hAnsi="Arial Unicode MS" w:cs="Arial Unicode MS"/>
                    <w:sz w:val="20"/>
                    <w:szCs w:val="20"/>
                    <w:highlight w:val="white"/>
                  </w:rPr>
                  <w:t>● Assessment details: This indicator can be evaluated by verifying that the community standard used for the data has a machine-understandable expression.</w:t>
                </w:r>
              </w:sdtContent>
            </w:sdt>
          </w:p>
        </w:tc>
        <w:tc>
          <w:tcPr>
            <w:tcW w:w="1260" w:type="dxa"/>
            <w:shd w:val="clear" w:color="auto" w:fill="auto"/>
            <w:tcMar>
              <w:top w:w="100" w:type="dxa"/>
              <w:left w:w="100" w:type="dxa"/>
              <w:bottom w:w="100" w:type="dxa"/>
              <w:right w:w="100" w:type="dxa"/>
            </w:tcMar>
          </w:tcPr>
          <w:p w14:paraId="1292005F" w14:textId="77777777" w:rsidR="00BC388A" w:rsidRDefault="00140473">
            <w:pPr>
              <w:widowControl w:val="0"/>
              <w:spacing w:after="0" w:line="240" w:lineRule="auto"/>
              <w:jc w:val="left"/>
              <w:rPr>
                <w:b/>
                <w:color w:val="FF9900"/>
              </w:rPr>
            </w:pPr>
            <w:r>
              <w:rPr>
                <w:b/>
                <w:color w:val="FF9900"/>
              </w:rPr>
              <w:t>Important</w:t>
            </w:r>
          </w:p>
        </w:tc>
        <w:tc>
          <w:tcPr>
            <w:tcW w:w="1080" w:type="dxa"/>
            <w:shd w:val="clear" w:color="auto" w:fill="auto"/>
            <w:tcMar>
              <w:top w:w="100" w:type="dxa"/>
              <w:left w:w="100" w:type="dxa"/>
              <w:bottom w:w="100" w:type="dxa"/>
              <w:right w:w="100" w:type="dxa"/>
            </w:tcMar>
          </w:tcPr>
          <w:p w14:paraId="062505A5" w14:textId="77777777" w:rsidR="00BC388A" w:rsidRDefault="00140473">
            <w:pPr>
              <w:widowControl w:val="0"/>
              <w:spacing w:after="0" w:line="240" w:lineRule="auto"/>
              <w:jc w:val="left"/>
            </w:pPr>
            <w:r>
              <w:t>TRUE/FALSE</w:t>
            </w:r>
          </w:p>
        </w:tc>
      </w:tr>
    </w:tbl>
    <w:p w14:paraId="6A434DEB" w14:textId="77777777" w:rsidR="00BC388A" w:rsidRDefault="00BC388A">
      <w:pPr>
        <w:widowControl w:val="0"/>
        <w:spacing w:after="0"/>
        <w:jc w:val="left"/>
        <w:rPr>
          <w:rFonts w:ascii="Times New Roman" w:eastAsia="Times New Roman" w:hAnsi="Times New Roman" w:cs="Times New Roman"/>
          <w:sz w:val="20"/>
          <w:szCs w:val="20"/>
        </w:rPr>
      </w:pPr>
    </w:p>
    <w:p w14:paraId="33111E24" w14:textId="77777777" w:rsidR="00BC388A" w:rsidRDefault="00BC388A">
      <w:pPr>
        <w:sectPr w:rsidR="00BC388A">
          <w:headerReference w:type="even" r:id="rId16"/>
          <w:headerReference w:type="default" r:id="rId17"/>
          <w:footerReference w:type="default" r:id="rId18"/>
          <w:headerReference w:type="first" r:id="rId19"/>
          <w:footerReference w:type="first" r:id="rId20"/>
          <w:pgSz w:w="11906" w:h="16838"/>
          <w:pgMar w:top="1985" w:right="1440" w:bottom="1440" w:left="1440" w:header="992" w:footer="646" w:gutter="0"/>
          <w:pgNumType w:start="1"/>
          <w:cols w:space="720"/>
          <w:titlePg/>
        </w:sectPr>
      </w:pPr>
    </w:p>
    <w:p w14:paraId="32BE28E4" w14:textId="77777777" w:rsidR="00BC388A" w:rsidRDefault="00BC388A"/>
    <w:p w14:paraId="44337630" w14:textId="77777777" w:rsidR="00BC388A" w:rsidRDefault="00140473">
      <w:r>
        <w:br w:type="page"/>
      </w:r>
    </w:p>
    <w:p w14:paraId="0549F498" w14:textId="77777777" w:rsidR="00BC388A" w:rsidRDefault="00140473" w:rsidP="00567C6D">
      <w:pPr>
        <w:pStyle w:val="Heading1"/>
        <w:numPr>
          <w:ilvl w:val="0"/>
          <w:numId w:val="0"/>
        </w:numPr>
        <w:ind w:left="90"/>
      </w:pPr>
      <w:bookmarkStart w:id="29" w:name="_Toc90565257"/>
      <w:r>
        <w:lastRenderedPageBreak/>
        <w:t>Appendix 2 - FAIR maturity assessment responses</w:t>
      </w:r>
      <w:bookmarkEnd w:id="29"/>
    </w:p>
    <w:p w14:paraId="013926F1" w14:textId="77777777" w:rsidR="00BC388A" w:rsidRDefault="00140473">
      <w:pPr>
        <w:jc w:val="center"/>
      </w:pPr>
      <w:r>
        <w:rPr>
          <w:noProof/>
        </w:rPr>
        <w:drawing>
          <wp:inline distT="114300" distB="114300" distL="114300" distR="114300" wp14:anchorId="393F9D5A" wp14:editId="58846993">
            <wp:extent cx="4193272" cy="7335837"/>
            <wp:effectExtent l="0" t="0" r="0" b="0"/>
            <wp:docPr id="2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1"/>
                    <a:srcRect/>
                    <a:stretch>
                      <a:fillRect/>
                    </a:stretch>
                  </pic:blipFill>
                  <pic:spPr>
                    <a:xfrm>
                      <a:off x="0" y="0"/>
                      <a:ext cx="4193272" cy="7335837"/>
                    </a:xfrm>
                    <a:prstGeom prst="rect">
                      <a:avLst/>
                    </a:prstGeom>
                    <a:ln/>
                  </pic:spPr>
                </pic:pic>
              </a:graphicData>
            </a:graphic>
          </wp:inline>
        </w:drawing>
      </w:r>
    </w:p>
    <w:sectPr w:rsidR="00BC388A">
      <w:type w:val="continuous"/>
      <w:pgSz w:w="11906" w:h="16838"/>
      <w:pgMar w:top="1985" w:right="1440" w:bottom="1440" w:left="1440" w:header="992" w:footer="6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6581E" w14:textId="77777777" w:rsidR="00140473" w:rsidRDefault="00140473">
      <w:pPr>
        <w:spacing w:after="0" w:line="240" w:lineRule="auto"/>
      </w:pPr>
      <w:r>
        <w:separator/>
      </w:r>
    </w:p>
  </w:endnote>
  <w:endnote w:type="continuationSeparator" w:id="0">
    <w:p w14:paraId="5AF525CA" w14:textId="77777777" w:rsidR="00140473" w:rsidRDefault="00140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 w:name="Arial Unicode MS">
    <w:altName w:val="Arial"/>
    <w:panose1 w:val="020B0604020202020204"/>
    <w:charset w:val="00"/>
    <w:family w:val="auto"/>
    <w:pitch w:val="default"/>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CD9B" w14:textId="77777777" w:rsidR="00BC388A" w:rsidRDefault="00140473">
    <w:pPr>
      <w:jc w:val="right"/>
    </w:pPr>
    <w:r>
      <w:fldChar w:fldCharType="begin"/>
    </w:r>
    <w:r>
      <w:instrText>PAGE</w:instrText>
    </w:r>
    <w:r>
      <w:fldChar w:fldCharType="separate"/>
    </w:r>
    <w:r w:rsidR="00567C6D">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82983" w14:textId="77777777" w:rsidR="00BC388A" w:rsidRDefault="00140473">
    <w:r>
      <w:t>EGI-ACE receives funding from the European Union's Horizon 2020 research and innovation programme under grant agreement no. 101017567.</w:t>
    </w:r>
    <w:r>
      <w:rPr>
        <w:noProof/>
      </w:rPr>
      <w:drawing>
        <wp:anchor distT="0" distB="0" distL="114300" distR="114300" simplePos="0" relativeHeight="251658240" behindDoc="0" locked="0" layoutInCell="1" hidden="0" allowOverlap="1" wp14:anchorId="1C6BE0E6" wp14:editId="719F9AC3">
          <wp:simplePos x="0" y="0"/>
          <wp:positionH relativeFrom="column">
            <wp:posOffset>4448</wp:posOffset>
          </wp:positionH>
          <wp:positionV relativeFrom="paragraph">
            <wp:posOffset>1270</wp:posOffset>
          </wp:positionV>
          <wp:extent cx="500380" cy="333375"/>
          <wp:effectExtent l="0" t="0" r="0" b="0"/>
          <wp:wrapSquare wrapText="bothSides" distT="0" distB="0" distL="114300" distR="114300"/>
          <wp:docPr id="26" name="image2.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2.jpg" descr="De Europese vlag | Europese Unie"/>
                  <pic:cNvPicPr preferRelativeResize="0"/>
                </pic:nvPicPr>
                <pic:blipFill>
                  <a:blip r:embed="rId1"/>
                  <a:srcRect/>
                  <a:stretch>
                    <a:fillRect/>
                  </a:stretch>
                </pic:blipFill>
                <pic:spPr>
                  <a:xfrm>
                    <a:off x="0" y="0"/>
                    <a:ext cx="500380" cy="33337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1301286C" wp14:editId="2E787B32">
          <wp:simplePos x="0" y="0"/>
          <wp:positionH relativeFrom="column">
            <wp:posOffset>4448</wp:posOffset>
          </wp:positionH>
          <wp:positionV relativeFrom="paragraph">
            <wp:posOffset>1270</wp:posOffset>
          </wp:positionV>
          <wp:extent cx="500380" cy="333375"/>
          <wp:effectExtent l="0" t="0" r="0" b="0"/>
          <wp:wrapSquare wrapText="bothSides" distT="0" distB="0" distL="114300" distR="114300"/>
          <wp:docPr id="22" name="image2.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2.jpg" descr="De Europese vlag | Europese Unie"/>
                  <pic:cNvPicPr preferRelativeResize="0"/>
                </pic:nvPicPr>
                <pic:blipFill>
                  <a:blip r:embed="rId1"/>
                  <a:srcRect/>
                  <a:stretch>
                    <a:fillRect/>
                  </a:stretch>
                </pic:blipFill>
                <pic:spPr>
                  <a:xfrm>
                    <a:off x="0" y="0"/>
                    <a:ext cx="500380" cy="333375"/>
                  </a:xfrm>
                  <a:prstGeom prst="rect">
                    <a:avLst/>
                  </a:prstGeom>
                  <a:ln/>
                </pic:spPr>
              </pic:pic>
            </a:graphicData>
          </a:graphic>
        </wp:anchor>
      </w:drawing>
    </w:r>
  </w:p>
  <w:p w14:paraId="2A8D4528" w14:textId="77777777" w:rsidR="00BC388A" w:rsidRDefault="00737C5A">
    <w:pPr>
      <w:rPr>
        <w:rFonts w:ascii="Helvetica Neue" w:eastAsia="Helvetica Neue" w:hAnsi="Helvetica Neue" w:cs="Helvetica Neue"/>
      </w:rPr>
    </w:pPr>
    <w:hyperlink r:id="rId2">
      <w:r w:rsidR="00140473">
        <w:rPr>
          <w:rFonts w:ascii="Helvetica Neue" w:eastAsia="Helvetica Neue" w:hAnsi="Helvetica Neue" w:cs="Helvetica Neue"/>
          <w:color w:val="0563C1"/>
          <w:u w:val="single"/>
        </w:rPr>
        <w:t>go.egi.eu/</w:t>
      </w:r>
      <w:proofErr w:type="spellStart"/>
      <w:r w:rsidR="00140473">
        <w:rPr>
          <w:rFonts w:ascii="Helvetica Neue" w:eastAsia="Helvetica Neue" w:hAnsi="Helvetica Neue" w:cs="Helvetica Neue"/>
          <w:color w:val="0563C1"/>
          <w:u w:val="single"/>
        </w:rPr>
        <w:t>egi</w:t>
      </w:r>
      <w:proofErr w:type="spellEnd"/>
      <w:r w:rsidR="00140473">
        <w:rPr>
          <w:rFonts w:ascii="Helvetica Neue" w:eastAsia="Helvetica Neue" w:hAnsi="Helvetica Neue" w:cs="Helvetica Neue"/>
          <w:color w:val="0563C1"/>
          <w:u w:val="single"/>
        </w:rPr>
        <w:t>-ace</w:t>
      </w:r>
    </w:hyperlink>
  </w:p>
  <w:p w14:paraId="08A2DCB6" w14:textId="77777777" w:rsidR="00BC388A" w:rsidRDefault="00BC388A"/>
  <w:p w14:paraId="6AF9E90A" w14:textId="77777777" w:rsidR="00BC388A" w:rsidRDefault="00140473">
    <w:pPr>
      <w:jc w:val="right"/>
    </w:pPr>
    <w:r>
      <w:fldChar w:fldCharType="begin"/>
    </w:r>
    <w:r>
      <w:instrText>PAGE</w:instrText>
    </w:r>
    <w:r>
      <w:fldChar w:fldCharType="separate"/>
    </w:r>
    <w:r w:rsidR="00567C6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8FB68" w14:textId="77777777" w:rsidR="00140473" w:rsidRDefault="00140473">
      <w:pPr>
        <w:spacing w:after="0" w:line="240" w:lineRule="auto"/>
      </w:pPr>
      <w:r>
        <w:separator/>
      </w:r>
    </w:p>
  </w:footnote>
  <w:footnote w:type="continuationSeparator" w:id="0">
    <w:p w14:paraId="03F9458C" w14:textId="77777777" w:rsidR="00140473" w:rsidRDefault="00140473">
      <w:pPr>
        <w:spacing w:after="0" w:line="240" w:lineRule="auto"/>
      </w:pPr>
      <w:r>
        <w:continuationSeparator/>
      </w:r>
    </w:p>
  </w:footnote>
  <w:footnote w:id="1">
    <w:p w14:paraId="5F1AFD56" w14:textId="77777777" w:rsidR="00BC388A" w:rsidRDefault="00140473">
      <w:pPr>
        <w:spacing w:after="0" w:line="240" w:lineRule="auto"/>
        <w:jc w:val="left"/>
        <w:rPr>
          <w:sz w:val="20"/>
          <w:szCs w:val="20"/>
        </w:rPr>
      </w:pPr>
      <w:r>
        <w:rPr>
          <w:vertAlign w:val="superscript"/>
        </w:rPr>
        <w:footnoteRef/>
      </w:r>
      <w:r>
        <w:rPr>
          <w:sz w:val="20"/>
          <w:szCs w:val="20"/>
        </w:rPr>
        <w:t xml:space="preserve"> European Data Strategy and EOSC Data Commons: </w:t>
      </w:r>
      <w:hyperlink r:id="rId1">
        <w:r>
          <w:rPr>
            <w:color w:val="1155CC"/>
            <w:sz w:val="20"/>
            <w:szCs w:val="20"/>
            <w:u w:val="single"/>
          </w:rPr>
          <w:t>https://ec.europa.eu/info/strategy/priorities-2019-2024/europe-fit-digital-age/european-data-strategy</w:t>
        </w:r>
      </w:hyperlink>
      <w:r>
        <w:rPr>
          <w:sz w:val="20"/>
          <w:szCs w:val="20"/>
        </w:rPr>
        <w:t xml:space="preserve"> </w:t>
      </w:r>
    </w:p>
  </w:footnote>
  <w:footnote w:id="2">
    <w:p w14:paraId="2975B3B8" w14:textId="77777777" w:rsidR="00BC388A" w:rsidRDefault="00140473">
      <w:pPr>
        <w:spacing w:after="0" w:line="240" w:lineRule="auto"/>
        <w:rPr>
          <w:sz w:val="20"/>
          <w:szCs w:val="20"/>
        </w:rPr>
      </w:pPr>
      <w:r>
        <w:rPr>
          <w:vertAlign w:val="superscript"/>
        </w:rPr>
        <w:footnoteRef/>
      </w:r>
      <w:r>
        <w:rPr>
          <w:sz w:val="20"/>
          <w:szCs w:val="20"/>
        </w:rPr>
        <w:t xml:space="preserve"> EOSC Future project: </w:t>
      </w:r>
      <w:hyperlink r:id="rId2">
        <w:r>
          <w:rPr>
            <w:color w:val="1155CC"/>
            <w:sz w:val="20"/>
            <w:szCs w:val="20"/>
            <w:u w:val="single"/>
          </w:rPr>
          <w:t>https://eoscfuture.eu/</w:t>
        </w:r>
      </w:hyperlink>
      <w:r>
        <w:rPr>
          <w:sz w:val="20"/>
          <w:szCs w:val="20"/>
        </w:rPr>
        <w:t xml:space="preserve"> </w:t>
      </w:r>
    </w:p>
  </w:footnote>
  <w:footnote w:id="3">
    <w:p w14:paraId="237C6DC4" w14:textId="77777777" w:rsidR="00BC388A" w:rsidRDefault="00140473">
      <w:pPr>
        <w:spacing w:after="0" w:line="240" w:lineRule="auto"/>
        <w:jc w:val="left"/>
        <w:rPr>
          <w:sz w:val="20"/>
          <w:szCs w:val="20"/>
        </w:rPr>
      </w:pPr>
      <w:r>
        <w:rPr>
          <w:vertAlign w:val="superscript"/>
        </w:rPr>
        <w:footnoteRef/>
      </w:r>
      <w:r>
        <w:rPr>
          <w:sz w:val="20"/>
          <w:szCs w:val="20"/>
        </w:rPr>
        <w:t xml:space="preserve"> EGI Operations Management Board: </w:t>
      </w:r>
      <w:hyperlink r:id="rId3">
        <w:r>
          <w:rPr>
            <w:color w:val="1155CC"/>
            <w:sz w:val="20"/>
            <w:szCs w:val="20"/>
            <w:u w:val="single"/>
          </w:rPr>
          <w:t>https://confluence.egi.eu/display/EGIBG/Operations+Management+Board</w:t>
        </w:r>
      </w:hyperlink>
      <w:r>
        <w:rPr>
          <w:sz w:val="20"/>
          <w:szCs w:val="20"/>
        </w:rPr>
        <w:t xml:space="preserve"> </w:t>
      </w:r>
    </w:p>
  </w:footnote>
  <w:footnote w:id="4">
    <w:p w14:paraId="778BBC76" w14:textId="77777777" w:rsidR="00BC388A" w:rsidRDefault="00140473">
      <w:pPr>
        <w:spacing w:after="0" w:line="240" w:lineRule="auto"/>
        <w:rPr>
          <w:sz w:val="20"/>
          <w:szCs w:val="20"/>
        </w:rPr>
      </w:pPr>
      <w:r>
        <w:rPr>
          <w:vertAlign w:val="superscript"/>
        </w:rPr>
        <w:footnoteRef/>
      </w:r>
      <w:r>
        <w:rPr>
          <w:sz w:val="20"/>
          <w:szCs w:val="20"/>
        </w:rPr>
        <w:t xml:space="preserve"> EGI-ACE task 2.2: EOSC Portal alignment and coordination</w:t>
      </w:r>
    </w:p>
  </w:footnote>
  <w:footnote w:id="5">
    <w:p w14:paraId="46C9E6EA" w14:textId="77777777" w:rsidR="00BC388A" w:rsidRDefault="00140473">
      <w:pPr>
        <w:spacing w:after="0" w:line="240" w:lineRule="auto"/>
        <w:jc w:val="left"/>
        <w:rPr>
          <w:sz w:val="20"/>
          <w:szCs w:val="20"/>
        </w:rPr>
      </w:pPr>
      <w:r>
        <w:rPr>
          <w:vertAlign w:val="superscript"/>
        </w:rPr>
        <w:footnoteRef/>
      </w:r>
      <w:r>
        <w:rPr>
          <w:sz w:val="20"/>
          <w:szCs w:val="20"/>
        </w:rPr>
        <w:t xml:space="preserve"> EGI-ACE services in the EOSC Marketplace (both delivered and supported services are included): </w:t>
      </w:r>
      <w:hyperlink r:id="rId4">
        <w:r>
          <w:rPr>
            <w:color w:val="1155CC"/>
            <w:sz w:val="20"/>
            <w:szCs w:val="20"/>
            <w:u w:val="single"/>
          </w:rPr>
          <w:t>https://marketplace.eosc-portal.eu/services?related_platforms=52</w:t>
        </w:r>
      </w:hyperlink>
      <w:r>
        <w:rPr>
          <w:sz w:val="20"/>
          <w:szCs w:val="20"/>
        </w:rPr>
        <w:t xml:space="preserve"> </w:t>
      </w:r>
    </w:p>
    <w:p w14:paraId="4AAC7626" w14:textId="77777777" w:rsidR="00BC388A" w:rsidRDefault="00BC388A">
      <w:pPr>
        <w:spacing w:after="0" w:line="240" w:lineRule="auto"/>
        <w:rPr>
          <w:sz w:val="20"/>
          <w:szCs w:val="20"/>
        </w:rPr>
      </w:pPr>
    </w:p>
    <w:p w14:paraId="553D7329" w14:textId="77777777" w:rsidR="00BC388A" w:rsidRDefault="00BC388A">
      <w:pPr>
        <w:spacing w:after="0" w:line="240" w:lineRule="auto"/>
        <w:rPr>
          <w:sz w:val="20"/>
          <w:szCs w:val="20"/>
        </w:rPr>
      </w:pPr>
    </w:p>
  </w:footnote>
  <w:footnote w:id="6">
    <w:p w14:paraId="3177C031" w14:textId="77777777" w:rsidR="00BC388A" w:rsidRDefault="00140473">
      <w:pPr>
        <w:spacing w:after="0" w:line="240" w:lineRule="auto"/>
        <w:rPr>
          <w:sz w:val="20"/>
          <w:szCs w:val="20"/>
        </w:rPr>
      </w:pPr>
      <w:r>
        <w:rPr>
          <w:vertAlign w:val="superscript"/>
        </w:rPr>
        <w:footnoteRef/>
      </w:r>
      <w:r>
        <w:rPr>
          <w:sz w:val="20"/>
          <w:szCs w:val="20"/>
        </w:rPr>
        <w:t xml:space="preserve"> EGI-ACE D2.2 EGI-ACE Strategic Plan: </w:t>
      </w:r>
      <w:hyperlink r:id="rId5">
        <w:r>
          <w:rPr>
            <w:color w:val="1155CC"/>
            <w:sz w:val="20"/>
            <w:szCs w:val="20"/>
            <w:u w:val="single"/>
          </w:rPr>
          <w:t>https://zenodo.org/record/5745168</w:t>
        </w:r>
      </w:hyperlink>
      <w:r>
        <w:rPr>
          <w:sz w:val="20"/>
          <w:szCs w:val="20"/>
        </w:rPr>
        <w:t xml:space="preserve"> </w:t>
      </w:r>
    </w:p>
  </w:footnote>
  <w:footnote w:id="7">
    <w:p w14:paraId="5A14D88A" w14:textId="77777777" w:rsidR="00BC388A" w:rsidRDefault="00140473">
      <w:pPr>
        <w:spacing w:after="0" w:line="240" w:lineRule="auto"/>
        <w:rPr>
          <w:sz w:val="20"/>
          <w:szCs w:val="20"/>
        </w:rPr>
      </w:pPr>
      <w:r>
        <w:rPr>
          <w:vertAlign w:val="superscript"/>
        </w:rPr>
        <w:footnoteRef/>
      </w:r>
      <w:r>
        <w:rPr>
          <w:sz w:val="20"/>
          <w:szCs w:val="20"/>
        </w:rPr>
        <w:t xml:space="preserve"> EGI External services: </w:t>
      </w:r>
      <w:hyperlink r:id="rId6">
        <w:r>
          <w:rPr>
            <w:color w:val="1155CC"/>
            <w:sz w:val="20"/>
            <w:szCs w:val="20"/>
            <w:u w:val="single"/>
          </w:rPr>
          <w:t>https://www.egi.eu/services/</w:t>
        </w:r>
      </w:hyperlink>
      <w:r>
        <w:rPr>
          <w:sz w:val="20"/>
          <w:szCs w:val="20"/>
        </w:rPr>
        <w:t xml:space="preserve"> </w:t>
      </w:r>
    </w:p>
  </w:footnote>
  <w:footnote w:id="8">
    <w:p w14:paraId="6CC3FD92" w14:textId="77777777" w:rsidR="00BC388A" w:rsidRDefault="00140473">
      <w:pPr>
        <w:spacing w:after="0" w:line="240" w:lineRule="auto"/>
        <w:rPr>
          <w:sz w:val="20"/>
          <w:szCs w:val="20"/>
        </w:rPr>
      </w:pPr>
      <w:r>
        <w:rPr>
          <w:vertAlign w:val="superscript"/>
        </w:rPr>
        <w:footnoteRef/>
      </w:r>
      <w:r>
        <w:rPr>
          <w:sz w:val="20"/>
          <w:szCs w:val="20"/>
        </w:rPr>
        <w:t xml:space="preserve"> EGI Internal services: </w:t>
      </w:r>
      <w:hyperlink r:id="rId7">
        <w:r>
          <w:rPr>
            <w:color w:val="1155CC"/>
            <w:sz w:val="20"/>
            <w:szCs w:val="20"/>
            <w:u w:val="single"/>
          </w:rPr>
          <w:t>https://www.egi.eu/internal-services/</w:t>
        </w:r>
      </w:hyperlink>
      <w:r>
        <w:rPr>
          <w:sz w:val="20"/>
          <w:szCs w:val="20"/>
        </w:rPr>
        <w:t xml:space="preserve"> </w:t>
      </w:r>
    </w:p>
  </w:footnote>
  <w:footnote w:id="9">
    <w:p w14:paraId="35E3C945" w14:textId="77777777" w:rsidR="00BC388A" w:rsidRDefault="00140473">
      <w:pPr>
        <w:spacing w:after="0" w:line="240" w:lineRule="auto"/>
        <w:rPr>
          <w:sz w:val="20"/>
          <w:szCs w:val="20"/>
        </w:rPr>
      </w:pPr>
      <w:r>
        <w:rPr>
          <w:vertAlign w:val="superscript"/>
        </w:rPr>
        <w:footnoteRef/>
      </w:r>
      <w:r>
        <w:rPr>
          <w:sz w:val="20"/>
          <w:szCs w:val="20"/>
        </w:rPr>
        <w:t xml:space="preserve"> EGI Use cases: </w:t>
      </w:r>
      <w:hyperlink r:id="rId8">
        <w:r>
          <w:rPr>
            <w:color w:val="1155CC"/>
            <w:sz w:val="20"/>
            <w:szCs w:val="20"/>
            <w:u w:val="single"/>
          </w:rPr>
          <w:t>https://www.egi.eu/use-cases/</w:t>
        </w:r>
      </w:hyperlink>
      <w:r>
        <w:rPr>
          <w:sz w:val="20"/>
          <w:szCs w:val="20"/>
        </w:rPr>
        <w:t xml:space="preserve"> </w:t>
      </w:r>
    </w:p>
  </w:footnote>
  <w:footnote w:id="10">
    <w:p w14:paraId="7EAD2006" w14:textId="77777777" w:rsidR="00BC388A" w:rsidRDefault="00140473">
      <w:pPr>
        <w:spacing w:after="0" w:line="240" w:lineRule="auto"/>
        <w:rPr>
          <w:sz w:val="20"/>
          <w:szCs w:val="20"/>
        </w:rPr>
      </w:pPr>
      <w:r>
        <w:rPr>
          <w:vertAlign w:val="superscript"/>
        </w:rPr>
        <w:footnoteRef/>
      </w:r>
      <w:r>
        <w:rPr>
          <w:sz w:val="20"/>
          <w:szCs w:val="20"/>
        </w:rPr>
        <w:t xml:space="preserve"> </w:t>
      </w:r>
      <w:hyperlink r:id="rId9">
        <w:r>
          <w:rPr>
            <w:color w:val="1155CC"/>
            <w:sz w:val="20"/>
            <w:szCs w:val="20"/>
            <w:u w:val="single"/>
          </w:rPr>
          <w:t>https://aarc-project.eu/</w:t>
        </w:r>
      </w:hyperlink>
      <w:r>
        <w:rPr>
          <w:sz w:val="20"/>
          <w:szCs w:val="20"/>
        </w:rPr>
        <w:t xml:space="preserve"> </w:t>
      </w:r>
    </w:p>
  </w:footnote>
  <w:footnote w:id="11">
    <w:p w14:paraId="52B27CB7" w14:textId="77777777" w:rsidR="00BC388A" w:rsidRDefault="00140473">
      <w:pPr>
        <w:spacing w:after="0" w:line="240" w:lineRule="auto"/>
        <w:rPr>
          <w:sz w:val="20"/>
          <w:szCs w:val="20"/>
        </w:rPr>
      </w:pPr>
      <w:r>
        <w:rPr>
          <w:vertAlign w:val="superscript"/>
        </w:rPr>
        <w:footnoteRef/>
      </w:r>
      <w:r>
        <w:rPr>
          <w:sz w:val="20"/>
          <w:szCs w:val="20"/>
        </w:rPr>
        <w:t xml:space="preserve"> </w:t>
      </w:r>
      <w:hyperlink r:id="rId10">
        <w:r>
          <w:rPr>
            <w:color w:val="1155CC"/>
            <w:sz w:val="20"/>
            <w:szCs w:val="20"/>
            <w:u w:val="single"/>
          </w:rPr>
          <w:t>https://aarc-project.eu/about/aegis/</w:t>
        </w:r>
      </w:hyperlink>
      <w:r>
        <w:rPr>
          <w:sz w:val="20"/>
          <w:szCs w:val="20"/>
        </w:rPr>
        <w:t xml:space="preserve"> </w:t>
      </w:r>
    </w:p>
  </w:footnote>
  <w:footnote w:id="12">
    <w:p w14:paraId="2467601C" w14:textId="77777777" w:rsidR="00BC388A" w:rsidRDefault="00140473">
      <w:pPr>
        <w:spacing w:after="0" w:line="240" w:lineRule="auto"/>
        <w:rPr>
          <w:sz w:val="20"/>
          <w:szCs w:val="20"/>
        </w:rPr>
      </w:pPr>
      <w:r>
        <w:rPr>
          <w:vertAlign w:val="superscript"/>
        </w:rPr>
        <w:footnoteRef/>
      </w:r>
      <w:r>
        <w:rPr>
          <w:sz w:val="20"/>
          <w:szCs w:val="20"/>
        </w:rPr>
        <w:t xml:space="preserve"> B2DROP service: </w:t>
      </w:r>
      <w:hyperlink r:id="rId11">
        <w:r>
          <w:rPr>
            <w:color w:val="1155CC"/>
            <w:sz w:val="20"/>
            <w:szCs w:val="20"/>
            <w:u w:val="single"/>
          </w:rPr>
          <w:t>https://marketplace.eosc-portal.eu/services/b2drop</w:t>
        </w:r>
      </w:hyperlink>
      <w:r>
        <w:rPr>
          <w:sz w:val="20"/>
          <w:szCs w:val="20"/>
        </w:rPr>
        <w:t xml:space="preserve"> </w:t>
      </w:r>
    </w:p>
  </w:footnote>
  <w:footnote w:id="13">
    <w:p w14:paraId="2CDECDAB" w14:textId="77777777" w:rsidR="00BC388A" w:rsidRDefault="00140473">
      <w:pPr>
        <w:spacing w:after="0" w:line="240" w:lineRule="auto"/>
        <w:rPr>
          <w:sz w:val="20"/>
          <w:szCs w:val="20"/>
        </w:rPr>
      </w:pPr>
      <w:r>
        <w:rPr>
          <w:vertAlign w:val="superscript"/>
        </w:rPr>
        <w:footnoteRef/>
      </w:r>
      <w:r>
        <w:rPr>
          <w:sz w:val="20"/>
          <w:szCs w:val="20"/>
        </w:rPr>
        <w:t xml:space="preserve"> </w:t>
      </w:r>
      <w:r>
        <w:rPr>
          <w:sz w:val="20"/>
          <w:szCs w:val="20"/>
        </w:rPr>
        <w:t xml:space="preserve">Zenodo service: </w:t>
      </w:r>
      <w:hyperlink r:id="rId12">
        <w:r>
          <w:rPr>
            <w:color w:val="1155CC"/>
            <w:sz w:val="20"/>
            <w:szCs w:val="20"/>
            <w:u w:val="single"/>
          </w:rPr>
          <w:t>https://marketplace.eosc-portal.eu/services/zenodo</w:t>
        </w:r>
      </w:hyperlink>
      <w:r>
        <w:rPr>
          <w:sz w:val="20"/>
          <w:szCs w:val="20"/>
        </w:rPr>
        <w:t xml:space="preserve"> </w:t>
      </w:r>
    </w:p>
  </w:footnote>
  <w:footnote w:id="14">
    <w:p w14:paraId="7A84D523" w14:textId="77777777" w:rsidR="00BC388A" w:rsidRDefault="00140473">
      <w:pPr>
        <w:spacing w:after="0"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hyperlink r:id="rId13" w:anchor="KER2">
        <w:r>
          <w:rPr>
            <w:rFonts w:ascii="Calibri" w:eastAsia="Calibri" w:hAnsi="Calibri" w:cs="Calibri"/>
            <w:color w:val="1155CC"/>
            <w:sz w:val="20"/>
            <w:szCs w:val="20"/>
            <w:u w:val="single"/>
          </w:rPr>
          <w:t>https://www.eosc-hub.eu/eosc-hub-key-exploitable-results/#KER2</w:t>
        </w:r>
      </w:hyperlink>
      <w:r>
        <w:rPr>
          <w:rFonts w:ascii="Calibri" w:eastAsia="Calibri" w:hAnsi="Calibri" w:cs="Calibri"/>
          <w:sz w:val="20"/>
          <w:szCs w:val="20"/>
        </w:rPr>
        <w:t xml:space="preserve"> </w:t>
      </w:r>
    </w:p>
  </w:footnote>
  <w:footnote w:id="15">
    <w:p w14:paraId="54F18C83" w14:textId="77777777" w:rsidR="00BC388A" w:rsidRDefault="00140473">
      <w:pPr>
        <w:spacing w:after="0"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r>
        <w:rPr>
          <w:rFonts w:ascii="Calibri" w:eastAsia="Calibri" w:hAnsi="Calibri" w:cs="Calibri"/>
          <w:sz w:val="20"/>
          <w:szCs w:val="20"/>
        </w:rPr>
        <w:t xml:space="preserve">FitSM IT Service Management standard: </w:t>
      </w:r>
      <w:hyperlink r:id="rId14">
        <w:r>
          <w:rPr>
            <w:rFonts w:ascii="Calibri" w:eastAsia="Calibri" w:hAnsi="Calibri" w:cs="Calibri"/>
            <w:color w:val="1155CC"/>
            <w:sz w:val="20"/>
            <w:szCs w:val="20"/>
            <w:u w:val="single"/>
          </w:rPr>
          <w:t>https://www.fitsm.eu/</w:t>
        </w:r>
      </w:hyperlink>
      <w:r>
        <w:rPr>
          <w:rFonts w:ascii="Calibri" w:eastAsia="Calibri" w:hAnsi="Calibri" w:cs="Calibri"/>
          <w:sz w:val="20"/>
          <w:szCs w:val="20"/>
        </w:rPr>
        <w:t xml:space="preserve"> </w:t>
      </w:r>
    </w:p>
  </w:footnote>
  <w:footnote w:id="16">
    <w:p w14:paraId="51A84D8A" w14:textId="77777777" w:rsidR="00BC388A" w:rsidRDefault="00140473">
      <w:pPr>
        <w:spacing w:after="0"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hyperlink r:id="rId15">
        <w:r>
          <w:rPr>
            <w:rFonts w:ascii="Calibri" w:eastAsia="Calibri" w:hAnsi="Calibri" w:cs="Calibri"/>
            <w:color w:val="1155CC"/>
            <w:sz w:val="20"/>
            <w:szCs w:val="20"/>
            <w:u w:val="single"/>
          </w:rPr>
          <w:t>https://www.egi.eu/services/</w:t>
        </w:r>
      </w:hyperlink>
      <w:r>
        <w:rPr>
          <w:rFonts w:ascii="Calibri" w:eastAsia="Calibri" w:hAnsi="Calibri" w:cs="Calibri"/>
          <w:sz w:val="20"/>
          <w:szCs w:val="20"/>
        </w:rPr>
        <w:t xml:space="preserve"> </w:t>
      </w:r>
    </w:p>
  </w:footnote>
  <w:footnote w:id="17">
    <w:p w14:paraId="40B379B4" w14:textId="77777777" w:rsidR="00BC388A" w:rsidRDefault="00140473">
      <w:pPr>
        <w:spacing w:after="0"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hyperlink r:id="rId16">
        <w:r>
          <w:rPr>
            <w:rFonts w:ascii="Calibri" w:eastAsia="Calibri" w:hAnsi="Calibri" w:cs="Calibri"/>
            <w:color w:val="1155CC"/>
            <w:sz w:val="20"/>
            <w:szCs w:val="20"/>
            <w:u w:val="single"/>
          </w:rPr>
          <w:t>https://www.egi.eu/internal-services/</w:t>
        </w:r>
      </w:hyperlink>
      <w:r>
        <w:rPr>
          <w:rFonts w:ascii="Calibri" w:eastAsia="Calibri" w:hAnsi="Calibri" w:cs="Calibri"/>
          <w:sz w:val="20"/>
          <w:szCs w:val="20"/>
        </w:rPr>
        <w:t xml:space="preserve"> </w:t>
      </w:r>
    </w:p>
  </w:footnote>
  <w:footnote w:id="18">
    <w:p w14:paraId="4050CEAC" w14:textId="77777777" w:rsidR="00BC388A" w:rsidRDefault="00140473">
      <w:pPr>
        <w:spacing w:after="0"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FitSM-1 document - Requirements: </w:t>
      </w:r>
      <w:hyperlink r:id="rId17">
        <w:r>
          <w:rPr>
            <w:rFonts w:ascii="Calibri" w:eastAsia="Calibri" w:hAnsi="Calibri" w:cs="Calibri"/>
            <w:color w:val="1155CC"/>
            <w:sz w:val="20"/>
            <w:szCs w:val="20"/>
            <w:u w:val="single"/>
          </w:rPr>
          <w:t>https://www.fitsm.eu/downloads</w:t>
        </w:r>
      </w:hyperlink>
      <w:r>
        <w:rPr>
          <w:rFonts w:ascii="Calibri" w:eastAsia="Calibri" w:hAnsi="Calibri" w:cs="Calibri"/>
          <w:sz w:val="20"/>
          <w:szCs w:val="20"/>
        </w:rPr>
        <w:t xml:space="preserve"> </w:t>
      </w:r>
    </w:p>
  </w:footnote>
  <w:footnote w:id="19">
    <w:p w14:paraId="771585FB" w14:textId="77777777" w:rsidR="00BC388A" w:rsidRDefault="00140473">
      <w:pPr>
        <w:spacing w:after="0"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FitSM-2 document - Objectives and Activities: </w:t>
      </w:r>
      <w:hyperlink r:id="rId18">
        <w:r>
          <w:rPr>
            <w:rFonts w:ascii="Calibri" w:eastAsia="Calibri" w:hAnsi="Calibri" w:cs="Calibri"/>
            <w:color w:val="1155CC"/>
            <w:sz w:val="20"/>
            <w:szCs w:val="20"/>
            <w:u w:val="single"/>
          </w:rPr>
          <w:t>https://www.fitsm.eu/downloads</w:t>
        </w:r>
      </w:hyperlink>
      <w:r>
        <w:rPr>
          <w:rFonts w:ascii="Calibri" w:eastAsia="Calibri" w:hAnsi="Calibri" w:cs="Calibri"/>
          <w:sz w:val="20"/>
          <w:szCs w:val="20"/>
        </w:rPr>
        <w:t xml:space="preserve"> </w:t>
      </w:r>
    </w:p>
  </w:footnote>
  <w:footnote w:id="20">
    <w:p w14:paraId="0FC1E4CC" w14:textId="77777777" w:rsidR="00BC388A" w:rsidRDefault="00140473">
      <w:pPr>
        <w:spacing w:after="0"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FitSM-3 document - Role model: </w:t>
      </w:r>
      <w:hyperlink r:id="rId19">
        <w:r>
          <w:rPr>
            <w:rFonts w:ascii="Calibri" w:eastAsia="Calibri" w:hAnsi="Calibri" w:cs="Calibri"/>
            <w:color w:val="1155CC"/>
            <w:sz w:val="20"/>
            <w:szCs w:val="20"/>
            <w:u w:val="single"/>
          </w:rPr>
          <w:t>https://www.fitsm.eu/downloads</w:t>
        </w:r>
      </w:hyperlink>
      <w:r>
        <w:rPr>
          <w:rFonts w:ascii="Calibri" w:eastAsia="Calibri" w:hAnsi="Calibri" w:cs="Calibri"/>
          <w:sz w:val="20"/>
          <w:szCs w:val="20"/>
        </w:rPr>
        <w:t xml:space="preserve"> </w:t>
      </w:r>
    </w:p>
  </w:footnote>
  <w:footnote w:id="21">
    <w:p w14:paraId="1C732E45" w14:textId="77777777" w:rsidR="00BC388A" w:rsidRDefault="00140473">
      <w:pPr>
        <w:spacing w:after="0" w:line="240" w:lineRule="auto"/>
        <w:rPr>
          <w:sz w:val="20"/>
          <w:szCs w:val="20"/>
        </w:rPr>
      </w:pPr>
      <w:r>
        <w:rPr>
          <w:vertAlign w:val="superscript"/>
        </w:rPr>
        <w:footnoteRef/>
      </w:r>
      <w:r>
        <w:rPr>
          <w:sz w:val="20"/>
          <w:szCs w:val="20"/>
        </w:rPr>
        <w:t xml:space="preserve"> </w:t>
      </w:r>
      <w:r>
        <w:rPr>
          <w:sz w:val="20"/>
          <w:szCs w:val="20"/>
        </w:rPr>
        <w:t xml:space="preserve">FitSM courses by EGI: </w:t>
      </w:r>
      <w:hyperlink r:id="rId20">
        <w:r>
          <w:rPr>
            <w:color w:val="1155CC"/>
            <w:sz w:val="20"/>
            <w:szCs w:val="20"/>
            <w:u w:val="single"/>
          </w:rPr>
          <w:t>https://indico.egi.eu/category/327/</w:t>
        </w:r>
      </w:hyperlink>
      <w:r>
        <w:rPr>
          <w:sz w:val="20"/>
          <w:szCs w:val="20"/>
        </w:rPr>
        <w:t xml:space="preserve"> </w:t>
      </w:r>
    </w:p>
  </w:footnote>
  <w:footnote w:id="22">
    <w:p w14:paraId="09C2BD79" w14:textId="77777777" w:rsidR="00BC388A" w:rsidRDefault="00140473">
      <w:pPr>
        <w:spacing w:after="0" w:line="240" w:lineRule="auto"/>
        <w:rPr>
          <w:sz w:val="20"/>
          <w:szCs w:val="20"/>
        </w:rPr>
      </w:pPr>
      <w:r>
        <w:rPr>
          <w:vertAlign w:val="superscript"/>
        </w:rPr>
        <w:footnoteRef/>
      </w:r>
      <w:r>
        <w:rPr>
          <w:sz w:val="20"/>
          <w:szCs w:val="20"/>
        </w:rPr>
        <w:t xml:space="preserve"> FAIR Data Maturity Model Working Group: FAIR Data Maturity Model Specification and Guidelines: </w:t>
      </w:r>
      <w:hyperlink r:id="rId21">
        <w:r>
          <w:rPr>
            <w:color w:val="1155CC"/>
            <w:sz w:val="20"/>
            <w:szCs w:val="20"/>
            <w:u w:val="single"/>
          </w:rPr>
          <w:t>https://zenodo.org/record/3909563</w:t>
        </w:r>
      </w:hyperlink>
      <w:r>
        <w:rPr>
          <w:sz w:val="20"/>
          <w:szCs w:val="20"/>
        </w:rPr>
        <w:t xml:space="preserve"> </w:t>
      </w:r>
    </w:p>
  </w:footnote>
  <w:footnote w:id="23">
    <w:p w14:paraId="0EEB8B79" w14:textId="77777777" w:rsidR="00BC388A" w:rsidRDefault="00140473">
      <w:pPr>
        <w:spacing w:after="0" w:line="240" w:lineRule="auto"/>
        <w:rPr>
          <w:sz w:val="20"/>
          <w:szCs w:val="20"/>
        </w:rPr>
      </w:pPr>
      <w:r>
        <w:rPr>
          <w:vertAlign w:val="superscript"/>
        </w:rPr>
        <w:footnoteRef/>
      </w:r>
      <w:r>
        <w:rPr>
          <w:sz w:val="20"/>
          <w:szCs w:val="20"/>
        </w:rPr>
        <w:t xml:space="preserve"> The </w:t>
      </w:r>
      <w:r>
        <w:rPr>
          <w:sz w:val="20"/>
          <w:szCs w:val="20"/>
        </w:rPr>
        <w:t>FAIRness maturity of the EGI-ACE Data Spaces will be reassessed during the course of the project at M24 in December 2022.</w:t>
      </w:r>
    </w:p>
  </w:footnote>
  <w:footnote w:id="24">
    <w:p w14:paraId="7D52637D" w14:textId="77777777" w:rsidR="00BC388A" w:rsidRDefault="00140473">
      <w:pPr>
        <w:spacing w:after="0" w:line="240" w:lineRule="auto"/>
        <w:rPr>
          <w:sz w:val="20"/>
          <w:szCs w:val="20"/>
        </w:rPr>
      </w:pPr>
      <w:r>
        <w:rPr>
          <w:vertAlign w:val="superscript"/>
        </w:rPr>
        <w:footnoteRef/>
      </w:r>
      <w:r>
        <w:rPr>
          <w:sz w:val="20"/>
          <w:szCs w:val="20"/>
        </w:rPr>
        <w:t xml:space="preserve"> There are only Essential indicators in the Findable area. </w:t>
      </w:r>
    </w:p>
  </w:footnote>
  <w:footnote w:id="25">
    <w:p w14:paraId="5CBFBE00" w14:textId="77777777" w:rsidR="00BC388A" w:rsidRDefault="00140473">
      <w:pPr>
        <w:spacing w:after="0" w:line="240" w:lineRule="auto"/>
        <w:rPr>
          <w:sz w:val="20"/>
          <w:szCs w:val="20"/>
        </w:rPr>
      </w:pPr>
      <w:r>
        <w:rPr>
          <w:vertAlign w:val="superscript"/>
        </w:rPr>
        <w:footnoteRef/>
      </w:r>
      <w:r>
        <w:rPr>
          <w:sz w:val="20"/>
          <w:szCs w:val="20"/>
        </w:rPr>
        <w:t xml:space="preserve"> </w:t>
      </w:r>
      <w:hyperlink r:id="rId22">
        <w:r>
          <w:rPr>
            <w:color w:val="1155CC"/>
            <w:sz w:val="20"/>
            <w:szCs w:val="20"/>
            <w:u w:val="single"/>
          </w:rPr>
          <w:t>https://eml.ecoinformatics.org/</w:t>
        </w:r>
      </w:hyperlink>
      <w:r>
        <w:rPr>
          <w:sz w:val="20"/>
          <w:szCs w:val="20"/>
        </w:rPr>
        <w:t xml:space="preserve"> </w:t>
      </w:r>
    </w:p>
  </w:footnote>
  <w:footnote w:id="26">
    <w:p w14:paraId="42E8EF20" w14:textId="77777777" w:rsidR="00BC388A" w:rsidRDefault="00140473">
      <w:pPr>
        <w:spacing w:after="0" w:line="240" w:lineRule="auto"/>
        <w:rPr>
          <w:sz w:val="20"/>
          <w:szCs w:val="20"/>
        </w:rPr>
      </w:pPr>
      <w:r>
        <w:rPr>
          <w:vertAlign w:val="superscript"/>
        </w:rPr>
        <w:footnoteRef/>
      </w:r>
      <w:r>
        <w:rPr>
          <w:sz w:val="20"/>
          <w:szCs w:val="20"/>
        </w:rPr>
        <w:t xml:space="preserve"> </w:t>
      </w:r>
      <w:hyperlink r:id="rId23">
        <w:r>
          <w:rPr>
            <w:color w:val="1155CC"/>
            <w:sz w:val="20"/>
            <w:szCs w:val="20"/>
            <w:u w:val="single"/>
          </w:rPr>
          <w:t>https://dwc.tdwg.org/</w:t>
        </w:r>
      </w:hyperlink>
      <w:r>
        <w:rPr>
          <w:sz w:val="20"/>
          <w:szCs w:val="20"/>
        </w:rPr>
        <w:t xml:space="preserve"> </w:t>
      </w:r>
    </w:p>
  </w:footnote>
  <w:footnote w:id="27">
    <w:p w14:paraId="7D2A7264" w14:textId="77777777" w:rsidR="00BC388A" w:rsidRDefault="00140473">
      <w:pPr>
        <w:spacing w:after="0" w:line="240" w:lineRule="auto"/>
        <w:rPr>
          <w:sz w:val="20"/>
          <w:szCs w:val="20"/>
        </w:rPr>
      </w:pPr>
      <w:r>
        <w:rPr>
          <w:vertAlign w:val="superscript"/>
        </w:rPr>
        <w:footnoteRef/>
      </w:r>
      <w:r>
        <w:rPr>
          <w:sz w:val="20"/>
          <w:szCs w:val="20"/>
        </w:rPr>
        <w:t xml:space="preserve"> </w:t>
      </w:r>
      <w:hyperlink r:id="rId24">
        <w:r>
          <w:rPr>
            <w:color w:val="1155CC"/>
            <w:sz w:val="20"/>
            <w:szCs w:val="20"/>
            <w:u w:val="single"/>
          </w:rPr>
          <w:t>https://www.gbif.org/pt/developer/summary</w:t>
        </w:r>
      </w:hyperlink>
      <w:r>
        <w:rPr>
          <w:sz w:val="20"/>
          <w:szCs w:val="20"/>
        </w:rPr>
        <w:t xml:space="preserve"> </w:t>
      </w:r>
    </w:p>
  </w:footnote>
  <w:footnote w:id="28">
    <w:p w14:paraId="60736960" w14:textId="77777777" w:rsidR="00BC388A" w:rsidRDefault="00140473">
      <w:pPr>
        <w:spacing w:after="0" w:line="240" w:lineRule="auto"/>
        <w:rPr>
          <w:sz w:val="20"/>
          <w:szCs w:val="20"/>
        </w:rPr>
      </w:pPr>
      <w:r>
        <w:rPr>
          <w:vertAlign w:val="superscript"/>
        </w:rPr>
        <w:footnoteRef/>
      </w:r>
      <w:r>
        <w:rPr>
          <w:sz w:val="20"/>
          <w:szCs w:val="20"/>
        </w:rPr>
        <w:t xml:space="preserve"> </w:t>
      </w:r>
      <w:hyperlink r:id="rId25">
        <w:r>
          <w:rPr>
            <w:color w:val="1155CC"/>
            <w:sz w:val="20"/>
            <w:szCs w:val="20"/>
            <w:u w:val="single"/>
          </w:rPr>
          <w:t>https://creativecommons.org/licenses/by/4.0/</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F1A95" w14:textId="77777777" w:rsidR="00BC388A" w:rsidRDefault="00BC388A"/>
  <w:p w14:paraId="49EB8884" w14:textId="77777777" w:rsidR="00BC388A" w:rsidRDefault="00BC388A"/>
  <w:p w14:paraId="6BE1073F" w14:textId="77777777" w:rsidR="00BC388A" w:rsidRDefault="00140473">
    <w:pPr>
      <w:widowControl w:val="0"/>
      <w:pBdr>
        <w:top w:val="nil"/>
        <w:left w:val="nil"/>
        <w:bottom w:val="nil"/>
        <w:right w:val="nil"/>
        <w:between w:val="nil"/>
      </w:pBdr>
      <w:spacing w:after="0"/>
      <w:jc w:val="left"/>
    </w:pPr>
    <w:r>
      <w:fldChar w:fldCharType="begin"/>
    </w:r>
    <w:r>
      <w:instrText>PAGE</w:instrText>
    </w:r>
    <w:r w:rsidR="00737C5A">
      <w:fldChar w:fldCharType="separate"/>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D8459" w14:textId="77777777" w:rsidR="00BC388A" w:rsidRDefault="00BC388A"/>
  <w:p w14:paraId="25DB39FA" w14:textId="77777777" w:rsidR="00BC388A" w:rsidRDefault="00BC388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5AFF" w14:textId="77777777" w:rsidR="00BC388A" w:rsidRDefault="00BC388A"/>
  <w:p w14:paraId="65F2CF83" w14:textId="77777777" w:rsidR="00BC388A" w:rsidRDefault="00BC38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90D9B"/>
    <w:multiLevelType w:val="multilevel"/>
    <w:tmpl w:val="29586C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D20405E"/>
    <w:multiLevelType w:val="multilevel"/>
    <w:tmpl w:val="0B74C4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CB54AF"/>
    <w:multiLevelType w:val="multilevel"/>
    <w:tmpl w:val="2C0E6D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2D5333B"/>
    <w:multiLevelType w:val="multilevel"/>
    <w:tmpl w:val="17207B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6E601F5"/>
    <w:multiLevelType w:val="multilevel"/>
    <w:tmpl w:val="A0F438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8E107A1"/>
    <w:multiLevelType w:val="multilevel"/>
    <w:tmpl w:val="9C420E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B1A35BD"/>
    <w:multiLevelType w:val="multilevel"/>
    <w:tmpl w:val="B374EAD0"/>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pStyle w:val="Heading9"/>
      <w:lvlText w:val="■"/>
      <w:lvlJc w:val="left"/>
      <w:pPr>
        <w:ind w:left="8640" w:hanging="360"/>
      </w:pPr>
      <w:rPr>
        <w:u w:val="none"/>
      </w:rPr>
    </w:lvl>
  </w:abstractNum>
  <w:abstractNum w:abstractNumId="7" w15:restartNumberingAfterBreak="0">
    <w:nsid w:val="3500764C"/>
    <w:multiLevelType w:val="multilevel"/>
    <w:tmpl w:val="1682F696"/>
    <w:lvl w:ilvl="0">
      <w:start w:val="1"/>
      <w:numFmt w:val="bullet"/>
      <w:pStyle w:val="Heading1"/>
      <w:lvlText w:val="●"/>
      <w:lvlJc w:val="left"/>
      <w:pPr>
        <w:ind w:left="1440" w:hanging="360"/>
      </w:pPr>
      <w:rPr>
        <w:u w:val="none"/>
      </w:rPr>
    </w:lvl>
    <w:lvl w:ilvl="1">
      <w:start w:val="1"/>
      <w:numFmt w:val="bullet"/>
      <w:pStyle w:val="Heading2"/>
      <w:lvlText w:val="○"/>
      <w:lvlJc w:val="left"/>
      <w:pPr>
        <w:ind w:left="2160" w:hanging="360"/>
      </w:pPr>
      <w:rPr>
        <w:u w:val="none"/>
      </w:rPr>
    </w:lvl>
    <w:lvl w:ilvl="2">
      <w:start w:val="1"/>
      <w:numFmt w:val="bullet"/>
      <w:pStyle w:val="Heading3"/>
      <w:lvlText w:val="■"/>
      <w:lvlJc w:val="left"/>
      <w:pPr>
        <w:ind w:left="2880" w:hanging="360"/>
      </w:pPr>
      <w:rPr>
        <w:u w:val="none"/>
      </w:rPr>
    </w:lvl>
    <w:lvl w:ilvl="3">
      <w:start w:val="1"/>
      <w:numFmt w:val="bullet"/>
      <w:pStyle w:val="Heading4"/>
      <w:lvlText w:val="●"/>
      <w:lvlJc w:val="left"/>
      <w:pPr>
        <w:ind w:left="3600" w:hanging="360"/>
      </w:pPr>
      <w:rPr>
        <w:u w:val="none"/>
      </w:rPr>
    </w:lvl>
    <w:lvl w:ilvl="4">
      <w:start w:val="1"/>
      <w:numFmt w:val="bullet"/>
      <w:pStyle w:val="Heading5"/>
      <w:lvlText w:val="○"/>
      <w:lvlJc w:val="left"/>
      <w:pPr>
        <w:ind w:left="4320" w:hanging="360"/>
      </w:pPr>
      <w:rPr>
        <w:u w:val="none"/>
      </w:rPr>
    </w:lvl>
    <w:lvl w:ilvl="5">
      <w:start w:val="1"/>
      <w:numFmt w:val="bullet"/>
      <w:pStyle w:val="Heading6"/>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3B777E42"/>
    <w:multiLevelType w:val="multilevel"/>
    <w:tmpl w:val="22322E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0483B22"/>
    <w:multiLevelType w:val="multilevel"/>
    <w:tmpl w:val="77BAA3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1A6523B"/>
    <w:multiLevelType w:val="multilevel"/>
    <w:tmpl w:val="F47E2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9C02138"/>
    <w:multiLevelType w:val="multilevel"/>
    <w:tmpl w:val="31D2A8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DCC3E9E"/>
    <w:multiLevelType w:val="multilevel"/>
    <w:tmpl w:val="065AF6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6332874"/>
    <w:multiLevelType w:val="multilevel"/>
    <w:tmpl w:val="4560F78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566223B5"/>
    <w:multiLevelType w:val="multilevel"/>
    <w:tmpl w:val="24623F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5DFC43E6"/>
    <w:multiLevelType w:val="multilevel"/>
    <w:tmpl w:val="08E21E4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6" w15:restartNumberingAfterBreak="0">
    <w:nsid w:val="5E9E2BFF"/>
    <w:multiLevelType w:val="multilevel"/>
    <w:tmpl w:val="03D090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EA81C10"/>
    <w:multiLevelType w:val="multilevel"/>
    <w:tmpl w:val="85B61E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8886BE3"/>
    <w:multiLevelType w:val="multilevel"/>
    <w:tmpl w:val="4BE4C7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B75360C"/>
    <w:multiLevelType w:val="multilevel"/>
    <w:tmpl w:val="774283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CDB5DEB"/>
    <w:multiLevelType w:val="multilevel"/>
    <w:tmpl w:val="971A4F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7BA23870"/>
    <w:multiLevelType w:val="multilevel"/>
    <w:tmpl w:val="D9F4F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DF03B59"/>
    <w:multiLevelType w:val="multilevel"/>
    <w:tmpl w:val="EDCC5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E333E02"/>
    <w:multiLevelType w:val="multilevel"/>
    <w:tmpl w:val="1F3CB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pStyle w:val="Heading7"/>
      <w:lvlText w:val="●"/>
      <w:lvlJc w:val="left"/>
      <w:pPr>
        <w:ind w:left="5040" w:hanging="360"/>
      </w:pPr>
      <w:rPr>
        <w:u w:val="none"/>
      </w:rPr>
    </w:lvl>
    <w:lvl w:ilvl="7">
      <w:start w:val="1"/>
      <w:numFmt w:val="bullet"/>
      <w:pStyle w:val="Heading8"/>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EF022AF"/>
    <w:multiLevelType w:val="multilevel"/>
    <w:tmpl w:val="88A820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02555538">
    <w:abstractNumId w:val="14"/>
  </w:num>
  <w:num w:numId="2" w16cid:durableId="924342532">
    <w:abstractNumId w:val="4"/>
  </w:num>
  <w:num w:numId="3" w16cid:durableId="1938782827">
    <w:abstractNumId w:val="6"/>
  </w:num>
  <w:num w:numId="4" w16cid:durableId="194656573">
    <w:abstractNumId w:val="19"/>
  </w:num>
  <w:num w:numId="5" w16cid:durableId="460390968">
    <w:abstractNumId w:val="7"/>
  </w:num>
  <w:num w:numId="6" w16cid:durableId="745880446">
    <w:abstractNumId w:val="12"/>
  </w:num>
  <w:num w:numId="7" w16cid:durableId="905800381">
    <w:abstractNumId w:val="23"/>
  </w:num>
  <w:num w:numId="8" w16cid:durableId="846866061">
    <w:abstractNumId w:val="8"/>
  </w:num>
  <w:num w:numId="9" w16cid:durableId="1290814956">
    <w:abstractNumId w:val="1"/>
  </w:num>
  <w:num w:numId="10" w16cid:durableId="629898421">
    <w:abstractNumId w:val="13"/>
  </w:num>
  <w:num w:numId="11" w16cid:durableId="542139227">
    <w:abstractNumId w:val="3"/>
  </w:num>
  <w:num w:numId="12" w16cid:durableId="1385787447">
    <w:abstractNumId w:val="0"/>
  </w:num>
  <w:num w:numId="13" w16cid:durableId="1834563388">
    <w:abstractNumId w:val="2"/>
  </w:num>
  <w:num w:numId="14" w16cid:durableId="1903641783">
    <w:abstractNumId w:val="22"/>
  </w:num>
  <w:num w:numId="15" w16cid:durableId="2027511927">
    <w:abstractNumId w:val="21"/>
  </w:num>
  <w:num w:numId="16" w16cid:durableId="1142380203">
    <w:abstractNumId w:val="24"/>
  </w:num>
  <w:num w:numId="17" w16cid:durableId="1358383180">
    <w:abstractNumId w:val="5"/>
  </w:num>
  <w:num w:numId="18" w16cid:durableId="1089814558">
    <w:abstractNumId w:val="15"/>
  </w:num>
  <w:num w:numId="19" w16cid:durableId="1457531153">
    <w:abstractNumId w:val="11"/>
  </w:num>
  <w:num w:numId="20" w16cid:durableId="223420483">
    <w:abstractNumId w:val="18"/>
  </w:num>
  <w:num w:numId="21" w16cid:durableId="979459489">
    <w:abstractNumId w:val="16"/>
  </w:num>
  <w:num w:numId="22" w16cid:durableId="1538278899">
    <w:abstractNumId w:val="20"/>
  </w:num>
  <w:num w:numId="23" w16cid:durableId="1055277036">
    <w:abstractNumId w:val="10"/>
  </w:num>
  <w:num w:numId="24" w16cid:durableId="1016998057">
    <w:abstractNumId w:val="17"/>
  </w:num>
  <w:num w:numId="25" w16cid:durableId="16273953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0MTI2MzExtzQxMDFS0lEKTi0uzszPAykwrAUApk5pSywAAAA="/>
  </w:docVars>
  <w:rsids>
    <w:rsidRoot w:val="00BC388A"/>
    <w:rsid w:val="00010A84"/>
    <w:rsid w:val="00140473"/>
    <w:rsid w:val="001C42FD"/>
    <w:rsid w:val="004B0BCF"/>
    <w:rsid w:val="00567C6D"/>
    <w:rsid w:val="005A41E0"/>
    <w:rsid w:val="00737C5A"/>
    <w:rsid w:val="00BC388A"/>
    <w:rsid w:val="00D10AF5"/>
    <w:rsid w:val="00F86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ACDDB"/>
  <w15:docId w15:val="{7D93EF16-44F9-4D81-925E-A9437CE59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525"/>
    <w:rPr>
      <w:spacing w:val="2"/>
    </w:rPr>
  </w:style>
  <w:style w:type="paragraph" w:styleId="Heading1">
    <w:name w:val="heading 1"/>
    <w:basedOn w:val="Normal"/>
    <w:next w:val="Heading2"/>
    <w:link w:val="Heading1Char"/>
    <w:uiPriority w:val="9"/>
    <w:qFormat/>
    <w:rsid w:val="00FC003F"/>
    <w:pPr>
      <w:pageBreakBefore/>
      <w:numPr>
        <w:numId w:val="5"/>
      </w:numPr>
      <w:spacing w:before="480"/>
      <w:ind w:left="431" w:hanging="431"/>
      <w:outlineLvl w:val="0"/>
    </w:pPr>
    <w:rPr>
      <w:b/>
      <w:bCs/>
      <w:color w:val="F07E19"/>
      <w:spacing w:val="0"/>
      <w:sz w:val="40"/>
      <w:szCs w:val="28"/>
    </w:rPr>
  </w:style>
  <w:style w:type="paragraph" w:styleId="Heading2">
    <w:name w:val="heading 2"/>
    <w:basedOn w:val="Normal"/>
    <w:next w:val="Heading3"/>
    <w:link w:val="Heading2Char"/>
    <w:uiPriority w:val="9"/>
    <w:unhideWhenUsed/>
    <w:qFormat/>
    <w:rsid w:val="0062724A"/>
    <w:pPr>
      <w:keepNext/>
      <w:keepLines/>
      <w:numPr>
        <w:ilvl w:val="1"/>
        <w:numId w:val="5"/>
      </w:numPr>
      <w:spacing w:before="200"/>
      <w:outlineLvl w:val="1"/>
    </w:pPr>
    <w:rPr>
      <w:bCs/>
      <w:color w:val="F07E19"/>
      <w:sz w:val="32"/>
      <w:szCs w:val="26"/>
    </w:rPr>
  </w:style>
  <w:style w:type="paragraph" w:styleId="Heading3">
    <w:name w:val="heading 3"/>
    <w:basedOn w:val="Normal"/>
    <w:next w:val="Heading4"/>
    <w:link w:val="Heading3Char"/>
    <w:uiPriority w:val="9"/>
    <w:semiHidden/>
    <w:unhideWhenUsed/>
    <w:qFormat/>
    <w:rsid w:val="0062724A"/>
    <w:pPr>
      <w:keepNext/>
      <w:keepLines/>
      <w:numPr>
        <w:ilvl w:val="2"/>
        <w:numId w:val="5"/>
      </w:numPr>
      <w:spacing w:before="200"/>
      <w:outlineLvl w:val="2"/>
    </w:pPr>
    <w:rPr>
      <w:b/>
      <w:bCs/>
      <w:color w:val="F07E19"/>
      <w:spacing w:val="0"/>
      <w:sz w:val="24"/>
    </w:rPr>
  </w:style>
  <w:style w:type="paragraph" w:styleId="Heading4">
    <w:name w:val="heading 4"/>
    <w:basedOn w:val="Normal"/>
    <w:next w:val="Heading5"/>
    <w:link w:val="Heading4Char"/>
    <w:uiPriority w:val="9"/>
    <w:semiHidden/>
    <w:unhideWhenUsed/>
    <w:qFormat/>
    <w:rsid w:val="0062724A"/>
    <w:pPr>
      <w:keepNext/>
      <w:keepLines/>
      <w:numPr>
        <w:ilvl w:val="3"/>
        <w:numId w:val="5"/>
      </w:numPr>
      <w:spacing w:before="200"/>
      <w:outlineLvl w:val="3"/>
    </w:pPr>
    <w:rPr>
      <w:bCs/>
      <w:iCs/>
      <w:color w:val="F07E19"/>
      <w:spacing w:val="0"/>
    </w:rPr>
  </w:style>
  <w:style w:type="paragraph" w:styleId="Heading5">
    <w:name w:val="heading 5"/>
    <w:basedOn w:val="Normal"/>
    <w:next w:val="Heading6"/>
    <w:link w:val="Heading5Char"/>
    <w:uiPriority w:val="9"/>
    <w:semiHidden/>
    <w:unhideWhenUsed/>
    <w:qFormat/>
    <w:rsid w:val="0062724A"/>
    <w:pPr>
      <w:keepNext/>
      <w:keepLines/>
      <w:numPr>
        <w:ilvl w:val="4"/>
        <w:numId w:val="5"/>
      </w:numPr>
      <w:spacing w:before="200"/>
      <w:outlineLvl w:val="4"/>
    </w:pPr>
    <w:rPr>
      <w:color w:val="F07E19"/>
      <w:spacing w:val="0"/>
    </w:rPr>
  </w:style>
  <w:style w:type="paragraph" w:styleId="Heading6">
    <w:name w:val="heading 6"/>
    <w:basedOn w:val="Heading5"/>
    <w:link w:val="Heading6Char"/>
    <w:uiPriority w:val="9"/>
    <w:semiHidden/>
    <w:unhideWhenUsed/>
    <w:qFormat/>
    <w:rsid w:val="0062724A"/>
    <w:pPr>
      <w:numPr>
        <w:ilvl w:val="5"/>
      </w:numPr>
      <w:outlineLvl w:val="5"/>
    </w:pPr>
  </w:style>
  <w:style w:type="paragraph" w:styleId="Heading7">
    <w:name w:val="heading 7"/>
    <w:basedOn w:val="Heading6"/>
    <w:next w:val="Heading8"/>
    <w:link w:val="Heading7Char"/>
    <w:uiPriority w:val="9"/>
    <w:unhideWhenUsed/>
    <w:rsid w:val="0062724A"/>
    <w:pPr>
      <w:numPr>
        <w:ilvl w:val="6"/>
        <w:numId w:val="7"/>
      </w:numPr>
      <w:outlineLvl w:val="6"/>
    </w:pPr>
  </w:style>
  <w:style w:type="paragraph" w:styleId="Heading8">
    <w:name w:val="heading 8"/>
    <w:basedOn w:val="Normal"/>
    <w:next w:val="Normal"/>
    <w:link w:val="Heading8Char"/>
    <w:uiPriority w:val="9"/>
    <w:unhideWhenUsed/>
    <w:rsid w:val="00C82525"/>
    <w:pPr>
      <w:keepNext/>
      <w:keepLines/>
      <w:numPr>
        <w:ilvl w:val="7"/>
        <w:numId w:val="7"/>
      </w:numPr>
      <w:spacing w:before="200"/>
      <w:outlineLvl w:val="7"/>
    </w:pPr>
    <w:rPr>
      <w:rFonts w:eastAsiaTheme="majorEastAsia"/>
      <w:color w:val="ED7D31" w:themeColor="accent2"/>
      <w:spacing w:val="0"/>
      <w:szCs w:val="20"/>
    </w:rPr>
  </w:style>
  <w:style w:type="paragraph" w:styleId="Heading9">
    <w:name w:val="heading 9"/>
    <w:basedOn w:val="Normal"/>
    <w:next w:val="Normal"/>
    <w:link w:val="Heading9Char"/>
    <w:uiPriority w:val="9"/>
    <w:unhideWhenUsed/>
    <w:rsid w:val="003306FD"/>
    <w:pPr>
      <w:keepNext/>
      <w:keepLines/>
      <w:numPr>
        <w:ilvl w:val="8"/>
        <w:numId w:val="3"/>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306FD"/>
    <w:pPr>
      <w:jc w:val="center"/>
    </w:pPr>
    <w:rPr>
      <w:b/>
      <w:i/>
      <w:sz w:val="44"/>
    </w:rPr>
  </w:style>
  <w:style w:type="table" w:customStyle="1" w:styleId="TableNormal1">
    <w:name w:val="Table Normal1"/>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FC003F"/>
    <w:rPr>
      <w:rFonts w:ascii="Arial" w:eastAsia="Arial" w:hAnsi="Arial" w:cs="Arial"/>
      <w:b/>
      <w:bCs/>
      <w:color w:val="F07E19"/>
      <w:sz w:val="40"/>
      <w:szCs w:val="28"/>
    </w:rPr>
  </w:style>
  <w:style w:type="character" w:customStyle="1" w:styleId="Heading2Char">
    <w:name w:val="Heading 2 Char"/>
    <w:basedOn w:val="DefaultParagraphFont"/>
    <w:link w:val="Heading2"/>
    <w:uiPriority w:val="9"/>
    <w:rsid w:val="0062724A"/>
    <w:rPr>
      <w:rFonts w:ascii="Arial" w:eastAsia="Arial" w:hAnsi="Arial" w:cs="Arial"/>
      <w:bCs/>
      <w:color w:val="F07E19"/>
      <w:spacing w:val="2"/>
      <w:sz w:val="32"/>
      <w:szCs w:val="26"/>
    </w:rPr>
  </w:style>
  <w:style w:type="character" w:customStyle="1" w:styleId="Heading3Char">
    <w:name w:val="Heading 3 Char"/>
    <w:basedOn w:val="DefaultParagraphFont"/>
    <w:link w:val="Heading3"/>
    <w:uiPriority w:val="9"/>
    <w:rsid w:val="0062724A"/>
    <w:rPr>
      <w:rFonts w:ascii="Arial" w:eastAsia="Arial" w:hAnsi="Arial" w:cs="Arial"/>
      <w:b/>
      <w:bCs/>
      <w:color w:val="F07E19"/>
      <w:sz w:val="24"/>
    </w:rPr>
  </w:style>
  <w:style w:type="character" w:customStyle="1" w:styleId="Heading4Char">
    <w:name w:val="Heading 4 Char"/>
    <w:basedOn w:val="DefaultParagraphFont"/>
    <w:link w:val="Heading4"/>
    <w:uiPriority w:val="9"/>
    <w:rsid w:val="0062724A"/>
    <w:rPr>
      <w:rFonts w:ascii="Arial" w:eastAsia="Arial" w:hAnsi="Arial" w:cs="Arial"/>
      <w:bCs/>
      <w:iCs/>
      <w:color w:val="F07E19"/>
    </w:rPr>
  </w:style>
  <w:style w:type="character" w:customStyle="1" w:styleId="Heading5Char">
    <w:name w:val="Heading 5 Char"/>
    <w:basedOn w:val="DefaultParagraphFont"/>
    <w:link w:val="Heading5"/>
    <w:uiPriority w:val="9"/>
    <w:rsid w:val="0062724A"/>
    <w:rPr>
      <w:rFonts w:ascii="Arial" w:eastAsia="Arial" w:hAnsi="Arial" w:cs="Arial"/>
      <w:color w:val="F07E19"/>
    </w:rPr>
  </w:style>
  <w:style w:type="character" w:customStyle="1" w:styleId="Heading6Char">
    <w:name w:val="Heading 6 Char"/>
    <w:basedOn w:val="DefaultParagraphFont"/>
    <w:link w:val="Heading6"/>
    <w:uiPriority w:val="9"/>
    <w:rsid w:val="0062724A"/>
    <w:rPr>
      <w:rFonts w:ascii="Arial" w:eastAsia="Arial" w:hAnsi="Arial" w:cs="Arial"/>
      <w:color w:val="F07E19"/>
    </w:rPr>
  </w:style>
  <w:style w:type="character" w:customStyle="1" w:styleId="Heading7Char">
    <w:name w:val="Heading 7 Char"/>
    <w:basedOn w:val="DefaultParagraphFont"/>
    <w:link w:val="Heading7"/>
    <w:uiPriority w:val="9"/>
    <w:rsid w:val="0062724A"/>
    <w:rPr>
      <w:rFonts w:ascii="Arial" w:eastAsia="Arial" w:hAnsi="Arial" w:cs="Arial"/>
      <w:color w:val="F07E19"/>
    </w:rPr>
  </w:style>
  <w:style w:type="character" w:customStyle="1" w:styleId="Heading8Char">
    <w:name w:val="Heading 8 Char"/>
    <w:basedOn w:val="DefaultParagraphFont"/>
    <w:link w:val="Heading8"/>
    <w:uiPriority w:val="9"/>
    <w:rsid w:val="00C82525"/>
    <w:rPr>
      <w:rFonts w:ascii="Arial" w:eastAsiaTheme="majorEastAsia" w:hAnsi="Arial" w:cs="Arial"/>
      <w:color w:val="ED7D31" w:themeColor="accent2"/>
      <w:szCs w:val="20"/>
    </w:rPr>
  </w:style>
  <w:style w:type="character" w:customStyle="1" w:styleId="Heading9Char">
    <w:name w:val="Heading 9 Char"/>
    <w:basedOn w:val="DefaultParagraphFont"/>
    <w:link w:val="Heading9"/>
    <w:uiPriority w:val="9"/>
    <w:rsid w:val="003306FD"/>
    <w:rPr>
      <w:rFonts w:asciiTheme="majorHAnsi" w:eastAsiaTheme="majorEastAsia" w:hAnsiTheme="majorHAnsi" w:cstheme="majorBidi"/>
      <w:i/>
      <w:iCs/>
      <w:color w:val="404040" w:themeColor="text1" w:themeTint="BF"/>
      <w:szCs w:val="20"/>
      <w:lang w:val="en-GB"/>
    </w:rPr>
  </w:style>
  <w:style w:type="character" w:customStyle="1" w:styleId="TitleChar">
    <w:name w:val="Title Char"/>
    <w:basedOn w:val="DefaultParagraphFont"/>
    <w:link w:val="Title"/>
    <w:uiPriority w:val="10"/>
    <w:rsid w:val="003306FD"/>
    <w:rPr>
      <w:rFonts w:ascii="Calibri" w:hAnsi="Calibri"/>
      <w:b/>
      <w:i/>
      <w:spacing w:val="2"/>
      <w:sz w:val="44"/>
      <w:lang w:val="en-GB"/>
    </w:rPr>
  </w:style>
  <w:style w:type="paragraph" w:styleId="NoSpacing">
    <w:name w:val="No Spacing"/>
    <w:basedOn w:val="Normal"/>
    <w:uiPriority w:val="1"/>
    <w:qFormat/>
    <w:rsid w:val="003306FD"/>
    <w:pPr>
      <w:spacing w:after="0" w:line="240" w:lineRule="auto"/>
    </w:pPr>
  </w:style>
  <w:style w:type="paragraph" w:styleId="ListParagraph">
    <w:name w:val="List Paragraph"/>
    <w:basedOn w:val="Normal"/>
    <w:link w:val="ListParagraphChar"/>
    <w:uiPriority w:val="34"/>
    <w:qFormat/>
    <w:rsid w:val="003306FD"/>
    <w:pPr>
      <w:ind w:left="720"/>
      <w:contextualSpacing/>
    </w:pPr>
    <w:rPr>
      <w:spacing w:val="0"/>
    </w:rPr>
  </w:style>
  <w:style w:type="paragraph" w:customStyle="1" w:styleId="Caption1">
    <w:name w:val="Caption1"/>
    <w:basedOn w:val="Normal"/>
    <w:next w:val="Normal"/>
    <w:link w:val="captionChar"/>
    <w:qFormat/>
    <w:rsid w:val="003306FD"/>
    <w:pPr>
      <w:keepNext/>
      <w:spacing w:after="240"/>
      <w:jc w:val="center"/>
    </w:pPr>
    <w:rPr>
      <w:b/>
      <w:i/>
      <w:color w:val="323E4F" w:themeColor="text2" w:themeShade="BF"/>
    </w:rPr>
  </w:style>
  <w:style w:type="character" w:customStyle="1" w:styleId="captionChar">
    <w:name w:val="caption Char"/>
    <w:basedOn w:val="DefaultParagraphFont"/>
    <w:link w:val="Caption1"/>
    <w:rsid w:val="003306FD"/>
    <w:rPr>
      <w:rFonts w:ascii="Calibri" w:hAnsi="Calibri"/>
      <w:b/>
      <w:i/>
      <w:color w:val="323E4F" w:themeColor="text2" w:themeShade="BF"/>
      <w:spacing w:val="2"/>
      <w:lang w:val="en-GB"/>
    </w:rPr>
  </w:style>
  <w:style w:type="character" w:customStyle="1" w:styleId="ListParagraphChar">
    <w:name w:val="List Paragraph Char"/>
    <w:link w:val="ListParagraph"/>
    <w:uiPriority w:val="34"/>
    <w:rsid w:val="003306FD"/>
    <w:rPr>
      <w:rFonts w:ascii="Calibri" w:hAnsi="Calibri"/>
      <w:lang w:val="en-GB"/>
    </w:rPr>
  </w:style>
  <w:style w:type="table" w:styleId="TableGrid">
    <w:name w:val="Table Grid"/>
    <w:basedOn w:val="TableNormal"/>
    <w:uiPriority w:val="59"/>
    <w:rsid w:val="00330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0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6FD"/>
    <w:rPr>
      <w:rFonts w:ascii="Calibri" w:hAnsi="Calibri"/>
      <w:spacing w:val="2"/>
      <w:lang w:val="en-GB"/>
    </w:rPr>
  </w:style>
  <w:style w:type="paragraph" w:styleId="Footer">
    <w:name w:val="footer"/>
    <w:basedOn w:val="Normal"/>
    <w:link w:val="FooterChar"/>
    <w:uiPriority w:val="99"/>
    <w:unhideWhenUsed/>
    <w:rsid w:val="003306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6FD"/>
    <w:rPr>
      <w:rFonts w:ascii="Calibri" w:hAnsi="Calibri"/>
      <w:spacing w:val="2"/>
      <w:lang w:val="en-GB"/>
    </w:rPr>
  </w:style>
  <w:style w:type="paragraph" w:styleId="TOC1">
    <w:name w:val="toc 1"/>
    <w:basedOn w:val="Normal"/>
    <w:next w:val="Normal"/>
    <w:autoRedefine/>
    <w:uiPriority w:val="39"/>
    <w:unhideWhenUsed/>
    <w:rsid w:val="00D675CE"/>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3306FD"/>
    <w:pPr>
      <w:tabs>
        <w:tab w:val="left" w:pos="880"/>
        <w:tab w:val="right" w:leader="dot" w:pos="9016"/>
      </w:tabs>
      <w:spacing w:after="100"/>
      <w:ind w:left="200"/>
    </w:pPr>
    <w:rPr>
      <w:color w:val="323E4F" w:themeColor="text2" w:themeShade="BF"/>
    </w:rPr>
  </w:style>
  <w:style w:type="character" w:styleId="Hyperlink">
    <w:name w:val="Hyperlink"/>
    <w:basedOn w:val="DefaultParagraphFont"/>
    <w:uiPriority w:val="99"/>
    <w:unhideWhenUsed/>
    <w:rsid w:val="003306FD"/>
    <w:rPr>
      <w:color w:val="0563C1" w:themeColor="hyperlink"/>
      <w:u w:val="single"/>
    </w:rPr>
  </w:style>
  <w:style w:type="character" w:styleId="CommentReference">
    <w:name w:val="annotation reference"/>
    <w:basedOn w:val="DefaultParagraphFont"/>
    <w:uiPriority w:val="99"/>
    <w:semiHidden/>
    <w:unhideWhenUsed/>
    <w:rsid w:val="003306FD"/>
    <w:rPr>
      <w:sz w:val="16"/>
      <w:szCs w:val="16"/>
    </w:rPr>
  </w:style>
  <w:style w:type="paragraph" w:customStyle="1" w:styleId="Appendix">
    <w:name w:val="Appendix"/>
    <w:basedOn w:val="Heading1"/>
    <w:next w:val="Normal"/>
    <w:link w:val="AppendixChar"/>
    <w:qFormat/>
    <w:rsid w:val="00FC003F"/>
    <w:pPr>
      <w:numPr>
        <w:numId w:val="0"/>
      </w:numPr>
      <w:ind w:left="720" w:hanging="720"/>
    </w:pPr>
    <w:rPr>
      <w:szCs w:val="40"/>
    </w:rPr>
  </w:style>
  <w:style w:type="character" w:customStyle="1" w:styleId="AppendixChar">
    <w:name w:val="Appendix Char"/>
    <w:basedOn w:val="ListParagraphChar"/>
    <w:link w:val="Appendix"/>
    <w:rsid w:val="00FC003F"/>
    <w:rPr>
      <w:rFonts w:ascii="Arial" w:eastAsia="Arial" w:hAnsi="Arial" w:cs="Arial"/>
      <w:b/>
      <w:bCs/>
      <w:color w:val="F07E19"/>
      <w:sz w:val="40"/>
      <w:szCs w:val="40"/>
      <w:lang w:val="en-GB"/>
    </w:rPr>
  </w:style>
  <w:style w:type="paragraph" w:customStyle="1" w:styleId="DocDate">
    <w:name w:val="DocDate"/>
    <w:basedOn w:val="Normal"/>
    <w:rsid w:val="003306FD"/>
    <w:pPr>
      <w:keepLines/>
      <w:widowControl w:val="0"/>
      <w:suppressAutoHyphens/>
      <w:spacing w:before="120" w:line="240" w:lineRule="auto"/>
    </w:pPr>
    <w:rPr>
      <w:rFonts w:eastAsia="Times New Roman"/>
      <w:b/>
      <w:spacing w:val="0"/>
    </w:rPr>
  </w:style>
  <w:style w:type="table" w:styleId="TableSimple1">
    <w:name w:val="Table Simple 1"/>
    <w:basedOn w:val="TableNormal"/>
    <w:uiPriority w:val="41"/>
    <w:rsid w:val="003306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3306FD"/>
  </w:style>
  <w:style w:type="table" w:styleId="TableGridLight">
    <w:name w:val="Grid Table Light"/>
    <w:basedOn w:val="TableNormal"/>
    <w:uiPriority w:val="40"/>
    <w:rsid w:val="003306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3306FD"/>
    <w:rPr>
      <w:b/>
      <w:sz w:val="40"/>
    </w:rPr>
  </w:style>
  <w:style w:type="character" w:customStyle="1" w:styleId="ExecutiveSummaryChar">
    <w:name w:val="Executive Summary Char"/>
    <w:basedOn w:val="DefaultParagraphFont"/>
    <w:link w:val="ExecutiveSummary"/>
    <w:rsid w:val="003306FD"/>
    <w:rPr>
      <w:rFonts w:ascii="Calibri" w:hAnsi="Calibri"/>
      <w:b/>
      <w:spacing w:val="2"/>
      <w:sz w:val="40"/>
      <w:lang w:val="en-GB"/>
    </w:rPr>
  </w:style>
  <w:style w:type="character" w:styleId="FollowedHyperlink">
    <w:name w:val="FollowedHyperlink"/>
    <w:basedOn w:val="DefaultParagraphFont"/>
    <w:uiPriority w:val="99"/>
    <w:semiHidden/>
    <w:unhideWhenUsed/>
    <w:rsid w:val="003306FD"/>
    <w:rPr>
      <w:color w:val="954F72" w:themeColor="followedHyperlink"/>
      <w:u w:val="single"/>
    </w:rPr>
  </w:style>
  <w:style w:type="paragraph" w:styleId="CommentText">
    <w:name w:val="annotation text"/>
    <w:basedOn w:val="Normal"/>
    <w:link w:val="CommentTextChar"/>
    <w:uiPriority w:val="99"/>
    <w:semiHidden/>
    <w:unhideWhenUsed/>
    <w:rsid w:val="003E3CE1"/>
    <w:pPr>
      <w:spacing w:line="240" w:lineRule="auto"/>
    </w:pPr>
    <w:rPr>
      <w:sz w:val="20"/>
      <w:szCs w:val="20"/>
    </w:rPr>
  </w:style>
  <w:style w:type="character" w:customStyle="1" w:styleId="CommentTextChar">
    <w:name w:val="Comment Text Char"/>
    <w:basedOn w:val="DefaultParagraphFont"/>
    <w:link w:val="CommentText"/>
    <w:uiPriority w:val="99"/>
    <w:semiHidden/>
    <w:rsid w:val="003E3CE1"/>
    <w:rPr>
      <w:rFonts w:ascii="Calibri" w:hAnsi="Calibri"/>
      <w:spacing w:val="2"/>
      <w:sz w:val="20"/>
      <w:szCs w:val="20"/>
      <w:lang w:val="en-GB"/>
    </w:rPr>
  </w:style>
  <w:style w:type="paragraph" w:styleId="CommentSubject">
    <w:name w:val="annotation subject"/>
    <w:basedOn w:val="CommentText"/>
    <w:next w:val="CommentText"/>
    <w:link w:val="CommentSubjectChar"/>
    <w:uiPriority w:val="99"/>
    <w:semiHidden/>
    <w:unhideWhenUsed/>
    <w:rsid w:val="003E3CE1"/>
    <w:rPr>
      <w:b/>
      <w:bCs/>
    </w:rPr>
  </w:style>
  <w:style w:type="character" w:customStyle="1" w:styleId="CommentSubjectChar">
    <w:name w:val="Comment Subject Char"/>
    <w:basedOn w:val="CommentTextChar"/>
    <w:link w:val="CommentSubject"/>
    <w:uiPriority w:val="99"/>
    <w:semiHidden/>
    <w:rsid w:val="003E3CE1"/>
    <w:rPr>
      <w:rFonts w:ascii="Calibri" w:hAnsi="Calibri"/>
      <w:b/>
      <w:bCs/>
      <w:spacing w:val="2"/>
      <w:sz w:val="20"/>
      <w:szCs w:val="20"/>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4">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paragraph" w:styleId="TOC3">
    <w:name w:val="toc 3"/>
    <w:basedOn w:val="Normal"/>
    <w:next w:val="Normal"/>
    <w:autoRedefine/>
    <w:uiPriority w:val="39"/>
    <w:unhideWhenUsed/>
    <w:rsid w:val="00D675CE"/>
    <w:pPr>
      <w:spacing w:after="100"/>
      <w:ind w:left="440"/>
    </w:pPr>
  </w:style>
  <w:style w:type="paragraph" w:styleId="TOC6">
    <w:name w:val="toc 6"/>
    <w:basedOn w:val="Normal"/>
    <w:next w:val="Normal"/>
    <w:autoRedefine/>
    <w:uiPriority w:val="39"/>
    <w:unhideWhenUsed/>
    <w:rsid w:val="00D675CE"/>
    <w:pPr>
      <w:spacing w:after="100"/>
      <w:ind w:left="1100"/>
    </w:pPr>
  </w:style>
  <w:style w:type="paragraph" w:styleId="TOC4">
    <w:name w:val="toc 4"/>
    <w:basedOn w:val="Normal"/>
    <w:next w:val="Normal"/>
    <w:autoRedefine/>
    <w:uiPriority w:val="39"/>
    <w:unhideWhenUsed/>
    <w:rsid w:val="00D675CE"/>
    <w:pPr>
      <w:spacing w:after="100"/>
      <w:ind w:left="660"/>
    </w:pPr>
  </w:style>
  <w:style w:type="paragraph" w:styleId="TOC5">
    <w:name w:val="toc 5"/>
    <w:basedOn w:val="Normal"/>
    <w:next w:val="Normal"/>
    <w:autoRedefine/>
    <w:uiPriority w:val="39"/>
    <w:unhideWhenUsed/>
    <w:rsid w:val="00D675CE"/>
    <w:pPr>
      <w:spacing w:after="100"/>
      <w:ind w:left="880"/>
    </w:p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9">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567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nfluence.egi.eu/display/EGI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cuments.egi.eu/document/3815" TargetMode="External"/><Relationship Id="rId14" Type="http://schemas.openxmlformats.org/officeDocument/2006/relationships/image" Target="media/image4.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go.egi.eu/egi-ace" TargetMode="External"/><Relationship Id="rId1" Type="http://schemas.openxmlformats.org/officeDocument/2006/relationships/image" Target="media/image6.jpg"/></Relationships>
</file>

<file path=word/_rels/footnotes.xml.rels><?xml version="1.0" encoding="UTF-8" standalone="yes"?>
<Relationships xmlns="http://schemas.openxmlformats.org/package/2006/relationships"><Relationship Id="rId8" Type="http://schemas.openxmlformats.org/officeDocument/2006/relationships/hyperlink" Target="https://www.egi.eu/use-cases/" TargetMode="External"/><Relationship Id="rId13" Type="http://schemas.openxmlformats.org/officeDocument/2006/relationships/hyperlink" Target="https://www.eosc-hub.eu/eosc-hub-key-exploitable-results/" TargetMode="External"/><Relationship Id="rId18" Type="http://schemas.openxmlformats.org/officeDocument/2006/relationships/hyperlink" Target="https://www.fitsm.eu/downloads" TargetMode="External"/><Relationship Id="rId3" Type="http://schemas.openxmlformats.org/officeDocument/2006/relationships/hyperlink" Target="https://confluence.egi.eu/display/EGIBG/Operations+Management+Board" TargetMode="External"/><Relationship Id="rId21" Type="http://schemas.openxmlformats.org/officeDocument/2006/relationships/hyperlink" Target="https://zenodo.org/record/3909563" TargetMode="External"/><Relationship Id="rId7" Type="http://schemas.openxmlformats.org/officeDocument/2006/relationships/hyperlink" Target="https://www.egi.eu/internal-services/" TargetMode="External"/><Relationship Id="rId12" Type="http://schemas.openxmlformats.org/officeDocument/2006/relationships/hyperlink" Target="https://marketplace.eosc-portal.eu/services/zenodo" TargetMode="External"/><Relationship Id="rId17" Type="http://schemas.openxmlformats.org/officeDocument/2006/relationships/hyperlink" Target="https://www.fitsm.eu/downloads" TargetMode="External"/><Relationship Id="rId25" Type="http://schemas.openxmlformats.org/officeDocument/2006/relationships/hyperlink" Target="https://creativecommons.org/licenses/by/4.0/" TargetMode="External"/><Relationship Id="rId2" Type="http://schemas.openxmlformats.org/officeDocument/2006/relationships/hyperlink" Target="https://eoscfuture.eu/" TargetMode="External"/><Relationship Id="rId16" Type="http://schemas.openxmlformats.org/officeDocument/2006/relationships/hyperlink" Target="https://www.egi.eu/internal-services/" TargetMode="External"/><Relationship Id="rId20" Type="http://schemas.openxmlformats.org/officeDocument/2006/relationships/hyperlink" Target="https://indico.egi.eu/category/327/" TargetMode="External"/><Relationship Id="rId1" Type="http://schemas.openxmlformats.org/officeDocument/2006/relationships/hyperlink" Target="https://ec.europa.eu/info/strategy/priorities-2019-2024/europe-fit-digital-age/european-data-strategy" TargetMode="External"/><Relationship Id="rId6" Type="http://schemas.openxmlformats.org/officeDocument/2006/relationships/hyperlink" Target="https://www.egi.eu/services/" TargetMode="External"/><Relationship Id="rId11" Type="http://schemas.openxmlformats.org/officeDocument/2006/relationships/hyperlink" Target="https://marketplace.eosc-portal.eu/services/b2drop" TargetMode="External"/><Relationship Id="rId24" Type="http://schemas.openxmlformats.org/officeDocument/2006/relationships/hyperlink" Target="https://www.gbif.org/pt/developer/summary" TargetMode="External"/><Relationship Id="rId5" Type="http://schemas.openxmlformats.org/officeDocument/2006/relationships/hyperlink" Target="https://zenodo.org/record/5745168" TargetMode="External"/><Relationship Id="rId15" Type="http://schemas.openxmlformats.org/officeDocument/2006/relationships/hyperlink" Target="https://www.egi.eu/services/" TargetMode="External"/><Relationship Id="rId23" Type="http://schemas.openxmlformats.org/officeDocument/2006/relationships/hyperlink" Target="https://dwc.tdwg.org/" TargetMode="External"/><Relationship Id="rId10" Type="http://schemas.openxmlformats.org/officeDocument/2006/relationships/hyperlink" Target="https://aarc-project.eu/about/aegis/" TargetMode="External"/><Relationship Id="rId19" Type="http://schemas.openxmlformats.org/officeDocument/2006/relationships/hyperlink" Target="https://www.fitsm.eu/downloads" TargetMode="External"/><Relationship Id="rId4" Type="http://schemas.openxmlformats.org/officeDocument/2006/relationships/hyperlink" Target="https://marketplace.eosc-portal.eu/services?related_platforms=52" TargetMode="External"/><Relationship Id="rId9" Type="http://schemas.openxmlformats.org/officeDocument/2006/relationships/hyperlink" Target="https://aarc-project.eu/" TargetMode="External"/><Relationship Id="rId14" Type="http://schemas.openxmlformats.org/officeDocument/2006/relationships/hyperlink" Target="https://www.fitsm.eu/" TargetMode="External"/><Relationship Id="rId22" Type="http://schemas.openxmlformats.org/officeDocument/2006/relationships/hyperlink" Target="https://eml.ecoinformati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ofPC76p4TBcTdJynx9lpPHsbwQ==">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14747</Words>
  <Characters>84063</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 Popescu</dc:creator>
  <cp:lastModifiedBy>Sjomara Specht</cp:lastModifiedBy>
  <cp:revision>4</cp:revision>
  <cp:lastPrinted>2022-05-17T07:28:00Z</cp:lastPrinted>
  <dcterms:created xsi:type="dcterms:W3CDTF">2022-05-17T07:28:00Z</dcterms:created>
  <dcterms:modified xsi:type="dcterms:W3CDTF">2022-05-17T07:29:00Z</dcterms:modified>
</cp:coreProperties>
</file>