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55373969" w:rsidR="000502D5" w:rsidRDefault="00595E3B" w:rsidP="00205B56">
      <w:pPr>
        <w:pStyle w:val="Title"/>
        <w:rPr>
          <w:i w:val="0"/>
        </w:rPr>
      </w:pPr>
      <w:r>
        <w:rPr>
          <w:i w:val="0"/>
        </w:rPr>
        <w:t xml:space="preserve">EGI </w:t>
      </w:r>
      <w:r w:rsidR="003A1407">
        <w:rPr>
          <w:i w:val="0"/>
        </w:rPr>
        <w:t>Core</w:t>
      </w:r>
      <w:r w:rsidR="00205B56">
        <w:rPr>
          <w:i w:val="0"/>
        </w:rPr>
        <w:t xml:space="preserve"> </w:t>
      </w:r>
      <w:r w:rsidR="00123C53">
        <w:rPr>
          <w:i w:val="0"/>
        </w:rPr>
        <w:t>Provisioning and Funding Policy</w:t>
      </w:r>
    </w:p>
    <w:p w14:paraId="4F5B861A" w14:textId="77777777" w:rsidR="00123C53" w:rsidRDefault="00123C53" w:rsidP="00123C53"/>
    <w:p w14:paraId="4AEC11AD" w14:textId="77777777" w:rsidR="00123C53" w:rsidRPr="00123C53" w:rsidRDefault="00123C53" w:rsidP="00123C53"/>
    <w:p w14:paraId="7B8DFA5E" w14:textId="218DF603" w:rsidR="0047132F" w:rsidRDefault="00E73A73" w:rsidP="006669E7">
      <w:r>
        <w:t>Adopted by EGI Council on 22-11-202</w:t>
      </w:r>
      <w:r w:rsidR="00674D1C">
        <w:t>3</w:t>
      </w:r>
    </w:p>
    <w:p w14:paraId="01ADC409" w14:textId="0F95A956" w:rsidR="0047132F" w:rsidRDefault="006F79B7" w:rsidP="006669E7">
      <w:r>
        <w:t xml:space="preserve">Note to the Council: </w:t>
      </w:r>
    </w:p>
    <w:p w14:paraId="4CA11089" w14:textId="58D45188" w:rsidR="006669E7" w:rsidRDefault="00744D54" w:rsidP="006669E7">
      <w:r>
        <w:t>Policy</w:t>
      </w:r>
      <w:r w:rsidR="006F79B7">
        <w:t xml:space="preserve"> ‘EGI Core Provisioning and Funding</w:t>
      </w:r>
      <w:r>
        <w:t>’</w:t>
      </w:r>
      <w:r w:rsidR="006F79B7">
        <w:t xml:space="preserve"> Policy </w:t>
      </w:r>
      <w:r w:rsidR="0047132F">
        <w:t xml:space="preserve">Article 4 ‘EGI Core Access’ </w:t>
      </w:r>
      <w:r w:rsidR="006F79B7">
        <w:t xml:space="preserve">obsoletes EGI Council Policy </w:t>
      </w:r>
      <w:r w:rsidR="006F79B7" w:rsidRPr="006F79B7">
        <w:t>04</w:t>
      </w:r>
      <w:r w:rsidR="006F79B7">
        <w:t xml:space="preserve"> ‘</w:t>
      </w:r>
      <w:r w:rsidR="006F79B7" w:rsidRPr="006F79B7">
        <w:t>Withdrawing services</w:t>
      </w:r>
      <w:r w:rsidR="006F79B7">
        <w:t>’ (</w:t>
      </w:r>
      <w:hyperlink r:id="rId9" w:history="1">
        <w:r w:rsidR="006F79B7" w:rsidRPr="006F79B7">
          <w:rPr>
            <w:rStyle w:val="Hyperlink"/>
          </w:rPr>
          <w:t>https://documents.egi.eu/document/1120</w:t>
        </w:r>
      </w:hyperlink>
      <w:r w:rsidR="006F79B7">
        <w:t>).</w:t>
      </w:r>
    </w:p>
    <w:p w14:paraId="140DFA4A" w14:textId="77777777" w:rsidR="00520E39" w:rsidRDefault="00520E39" w:rsidP="006669E7">
      <w:r>
        <w:tab/>
      </w:r>
      <w:r>
        <w:tab/>
      </w:r>
    </w:p>
    <w:p w14:paraId="126E59C7" w14:textId="77777777" w:rsidR="00520E39" w:rsidRDefault="00520E39">
      <w:pPr>
        <w:spacing w:after="200"/>
        <w:jc w:val="left"/>
      </w:pPr>
      <w:r>
        <w:br w:type="page"/>
      </w:r>
    </w:p>
    <w:p w14:paraId="7C1D97A0" w14:textId="6AF50EEF" w:rsidR="00676B2F" w:rsidRPr="00676B2F" w:rsidRDefault="00676B2F" w:rsidP="00676B2F">
      <w:pPr>
        <w:spacing w:after="200"/>
        <w:jc w:val="left"/>
      </w:pPr>
      <w:r>
        <w:rPr>
          <w:b/>
          <w:color w:val="4F81BD" w:themeColor="accent1"/>
        </w:rPr>
        <w:lastRenderedPageBreak/>
        <w:t>ABOUT THIS DOCUMENT</w:t>
      </w:r>
    </w:p>
    <w:p w14:paraId="5ECE7877" w14:textId="5AD36D86" w:rsidR="00520E39" w:rsidRDefault="00520E39" w:rsidP="006669E7">
      <w:r>
        <w:rPr>
          <w:b/>
          <w:bCs/>
        </w:rPr>
        <w:t>Document:</w:t>
      </w:r>
      <w:r>
        <w:rPr>
          <w:b/>
          <w:bCs/>
        </w:rPr>
        <w:tab/>
      </w:r>
      <w:r>
        <w:rPr>
          <w:b/>
          <w:bCs/>
        </w:rPr>
        <w:tab/>
      </w:r>
      <w:r>
        <w:rPr>
          <w:b/>
          <w:bCs/>
        </w:rPr>
        <w:tab/>
      </w:r>
      <w:r>
        <w:t>EGI Council Policy</w:t>
      </w:r>
    </w:p>
    <w:p w14:paraId="0A1642CC" w14:textId="556AC807" w:rsidR="00520E39" w:rsidRDefault="00520E39" w:rsidP="006669E7">
      <w:r w:rsidRPr="00520E39">
        <w:rPr>
          <w:b/>
          <w:bCs/>
        </w:rPr>
        <w:t>Distribution</w:t>
      </w:r>
      <w:r>
        <w:t>:</w:t>
      </w:r>
      <w:r>
        <w:tab/>
      </w:r>
      <w:r>
        <w:tab/>
      </w:r>
      <w:r>
        <w:tab/>
        <w:t>EB, Council</w:t>
      </w:r>
      <w:r w:rsidR="00ED10AD">
        <w:t xml:space="preserve">, </w:t>
      </w:r>
      <w:r>
        <w:t>EGI Participants</w:t>
      </w:r>
      <w:r w:rsidR="00ED10AD">
        <w:t xml:space="preserve"> and EGI Core Suppliers</w:t>
      </w:r>
    </w:p>
    <w:p w14:paraId="2F75CFAB" w14:textId="68B3C398" w:rsidR="00520E39" w:rsidRDefault="00520E39" w:rsidP="006669E7">
      <w:r>
        <w:rPr>
          <w:b/>
          <w:bCs/>
        </w:rPr>
        <w:t>Confidentiality notice:</w:t>
      </w:r>
      <w:r>
        <w:rPr>
          <w:b/>
          <w:bCs/>
        </w:rPr>
        <w:tab/>
      </w:r>
      <w:r>
        <w:rPr>
          <w:b/>
          <w:bCs/>
        </w:rPr>
        <w:tab/>
      </w:r>
      <w:r w:rsidR="003A1407">
        <w:t>Confidential</w:t>
      </w:r>
    </w:p>
    <w:p w14:paraId="076EF61B" w14:textId="3477A2BB" w:rsidR="00520E39" w:rsidRDefault="00520E39" w:rsidP="006669E7">
      <w:r>
        <w:rPr>
          <w:b/>
          <w:bCs/>
        </w:rPr>
        <w:t>Document Version:</w:t>
      </w:r>
      <w:r>
        <w:rPr>
          <w:b/>
          <w:bCs/>
        </w:rPr>
        <w:tab/>
      </w:r>
      <w:r>
        <w:rPr>
          <w:b/>
          <w:bCs/>
        </w:rPr>
        <w:tab/>
      </w:r>
      <w:r w:rsidR="00ED10AD">
        <w:t>15</w:t>
      </w:r>
      <w:r w:rsidR="00595E3B">
        <w:t xml:space="preserve"> </w:t>
      </w:r>
      <w:r w:rsidR="00ED10AD">
        <w:t>Nov</w:t>
      </w:r>
      <w:r w:rsidR="00595E3B">
        <w:t xml:space="preserve"> 20</w:t>
      </w:r>
      <w:r w:rsidR="003A1407">
        <w:t>23</w:t>
      </w:r>
    </w:p>
    <w:p w14:paraId="3CDAAEBB" w14:textId="1239B2B8" w:rsidR="00520E39" w:rsidRPr="00520E39" w:rsidRDefault="00520E39" w:rsidP="006669E7">
      <w:r>
        <w:rPr>
          <w:b/>
          <w:bCs/>
        </w:rPr>
        <w:t>Document Link:</w:t>
      </w:r>
      <w:r>
        <w:rPr>
          <w:b/>
          <w:bCs/>
        </w:rPr>
        <w:tab/>
      </w:r>
      <w:r>
        <w:rPr>
          <w:b/>
          <w:bCs/>
        </w:rPr>
        <w:tab/>
      </w:r>
      <w:r w:rsidR="00EE2F6A" w:rsidRPr="00EE2F6A">
        <w:t xml:space="preserve">to be provided </w:t>
      </w:r>
      <w:r w:rsidR="00EE2F6A">
        <w:t>following</w:t>
      </w:r>
      <w:r w:rsidR="00EE2F6A" w:rsidRPr="00EE2F6A">
        <w:t xml:space="preserve"> approval</w:t>
      </w:r>
      <w:r w:rsidR="00595E3B">
        <w:t xml:space="preserve"> </w:t>
      </w:r>
    </w:p>
    <w:p w14:paraId="6E4FAB59" w14:textId="77777777" w:rsidR="00676B2F" w:rsidRDefault="00676B2F" w:rsidP="00676B2F">
      <w:pPr>
        <w:spacing w:after="200"/>
        <w:jc w:val="left"/>
      </w:pPr>
    </w:p>
    <w:p w14:paraId="25C02535" w14:textId="32186E63" w:rsidR="00EC504F" w:rsidRPr="00676B2F" w:rsidRDefault="00EC504F" w:rsidP="00676B2F">
      <w:pPr>
        <w:spacing w:after="200"/>
        <w:jc w:val="left"/>
      </w:pPr>
      <w:r w:rsidRPr="00E04C11">
        <w:rPr>
          <w:b/>
          <w:color w:val="4F81BD" w:themeColor="accent1"/>
        </w:rPr>
        <w:t>DOCUMENT LOG</w:t>
      </w:r>
    </w:p>
    <w:tbl>
      <w:tblPr>
        <w:tblStyle w:val="TableGrid"/>
        <w:tblW w:w="0" w:type="auto"/>
        <w:tblLook w:val="04A0" w:firstRow="1" w:lastRow="0" w:firstColumn="1" w:lastColumn="0" w:noHBand="0" w:noVBand="1"/>
      </w:tblPr>
      <w:tblGrid>
        <w:gridCol w:w="813"/>
        <w:gridCol w:w="1389"/>
        <w:gridCol w:w="6298"/>
      </w:tblGrid>
      <w:tr w:rsidR="00595E3B" w:rsidRPr="002E5F1F" w14:paraId="6F3C9721" w14:textId="77777777" w:rsidTr="00595E3B">
        <w:tc>
          <w:tcPr>
            <w:tcW w:w="813" w:type="dxa"/>
            <w:shd w:val="clear" w:color="auto" w:fill="B8CCE4" w:themeFill="accent1" w:themeFillTint="66"/>
          </w:tcPr>
          <w:p w14:paraId="57602071" w14:textId="77777777" w:rsidR="00595E3B" w:rsidRPr="002E5F1F" w:rsidRDefault="00595E3B" w:rsidP="00D87A5E">
            <w:pPr>
              <w:pStyle w:val="NoSpacing"/>
              <w:rPr>
                <w:b/>
                <w:i/>
              </w:rPr>
            </w:pPr>
            <w:r w:rsidRPr="002E5F1F">
              <w:rPr>
                <w:b/>
                <w:i/>
              </w:rPr>
              <w:t>Issue</w:t>
            </w:r>
          </w:p>
        </w:tc>
        <w:tc>
          <w:tcPr>
            <w:tcW w:w="1389" w:type="dxa"/>
            <w:shd w:val="clear" w:color="auto" w:fill="B8CCE4" w:themeFill="accent1" w:themeFillTint="66"/>
          </w:tcPr>
          <w:p w14:paraId="1DC9861D" w14:textId="77777777" w:rsidR="00595E3B" w:rsidRPr="002E5F1F" w:rsidRDefault="00595E3B" w:rsidP="00D87A5E">
            <w:pPr>
              <w:pStyle w:val="NoSpacing"/>
              <w:rPr>
                <w:b/>
                <w:i/>
              </w:rPr>
            </w:pPr>
            <w:r>
              <w:rPr>
                <w:b/>
                <w:i/>
              </w:rPr>
              <w:t>Date</w:t>
            </w:r>
          </w:p>
        </w:tc>
        <w:tc>
          <w:tcPr>
            <w:tcW w:w="6298" w:type="dxa"/>
            <w:shd w:val="clear" w:color="auto" w:fill="B8CCE4" w:themeFill="accent1" w:themeFillTint="66"/>
          </w:tcPr>
          <w:p w14:paraId="572AD210" w14:textId="77777777" w:rsidR="00595E3B" w:rsidRPr="002E5F1F" w:rsidRDefault="00595E3B" w:rsidP="00D87A5E">
            <w:pPr>
              <w:pStyle w:val="NoSpacing"/>
              <w:rPr>
                <w:b/>
                <w:i/>
              </w:rPr>
            </w:pPr>
            <w:r>
              <w:rPr>
                <w:b/>
                <w:i/>
              </w:rPr>
              <w:t>Comment</w:t>
            </w:r>
          </w:p>
        </w:tc>
      </w:tr>
      <w:tr w:rsidR="00595E3B" w14:paraId="51BEF978" w14:textId="77777777" w:rsidTr="00595E3B">
        <w:tc>
          <w:tcPr>
            <w:tcW w:w="813" w:type="dxa"/>
            <w:shd w:val="clear" w:color="auto" w:fill="auto"/>
          </w:tcPr>
          <w:p w14:paraId="027EC6C0" w14:textId="77777777" w:rsidR="00595E3B" w:rsidRPr="00676B2F" w:rsidRDefault="00595E3B" w:rsidP="00D87A5E">
            <w:pPr>
              <w:pStyle w:val="NoSpacing"/>
              <w:rPr>
                <w:bCs/>
              </w:rPr>
            </w:pPr>
            <w:r w:rsidRPr="00676B2F">
              <w:rPr>
                <w:bCs/>
              </w:rPr>
              <w:t>v.1</w:t>
            </w:r>
          </w:p>
        </w:tc>
        <w:tc>
          <w:tcPr>
            <w:tcW w:w="1389" w:type="dxa"/>
            <w:shd w:val="clear" w:color="auto" w:fill="auto"/>
          </w:tcPr>
          <w:p w14:paraId="549B6DAB" w14:textId="0414AF53" w:rsidR="00595E3B" w:rsidRPr="00676B2F" w:rsidRDefault="003A1407" w:rsidP="00D87A5E">
            <w:pPr>
              <w:pStyle w:val="NoSpacing"/>
              <w:rPr>
                <w:bCs/>
              </w:rPr>
            </w:pPr>
            <w:r>
              <w:rPr>
                <w:bCs/>
              </w:rPr>
              <w:t>21-09-2023</w:t>
            </w:r>
          </w:p>
        </w:tc>
        <w:tc>
          <w:tcPr>
            <w:tcW w:w="6298" w:type="dxa"/>
            <w:shd w:val="clear" w:color="auto" w:fill="auto"/>
          </w:tcPr>
          <w:p w14:paraId="69CB229F" w14:textId="24634A3F" w:rsidR="00595E3B" w:rsidRPr="00676B2F" w:rsidRDefault="00595E3B" w:rsidP="00D87A5E">
            <w:pPr>
              <w:pStyle w:val="NoSpacing"/>
              <w:rPr>
                <w:bCs/>
              </w:rPr>
            </w:pPr>
            <w:r>
              <w:rPr>
                <w:bCs/>
              </w:rPr>
              <w:t xml:space="preserve">First issue </w:t>
            </w:r>
            <w:r w:rsidR="003A1407">
              <w:rPr>
                <w:bCs/>
              </w:rPr>
              <w:t>for Council discussion</w:t>
            </w:r>
          </w:p>
        </w:tc>
      </w:tr>
      <w:tr w:rsidR="00A142E3" w14:paraId="7C03F4CC" w14:textId="77777777" w:rsidTr="00595E3B">
        <w:tc>
          <w:tcPr>
            <w:tcW w:w="813" w:type="dxa"/>
            <w:shd w:val="clear" w:color="auto" w:fill="auto"/>
          </w:tcPr>
          <w:p w14:paraId="5D695759" w14:textId="3EBDF312" w:rsidR="00A142E3" w:rsidRPr="00676B2F" w:rsidRDefault="00A142E3" w:rsidP="00D87A5E">
            <w:pPr>
              <w:pStyle w:val="NoSpacing"/>
              <w:rPr>
                <w:bCs/>
              </w:rPr>
            </w:pPr>
            <w:r>
              <w:rPr>
                <w:bCs/>
              </w:rPr>
              <w:t>V.2</w:t>
            </w:r>
          </w:p>
        </w:tc>
        <w:tc>
          <w:tcPr>
            <w:tcW w:w="1389" w:type="dxa"/>
            <w:shd w:val="clear" w:color="auto" w:fill="auto"/>
          </w:tcPr>
          <w:p w14:paraId="2D48D1C4" w14:textId="06B82F9E" w:rsidR="00A142E3" w:rsidRDefault="00A142E3" w:rsidP="00D87A5E">
            <w:pPr>
              <w:pStyle w:val="NoSpacing"/>
              <w:rPr>
                <w:bCs/>
              </w:rPr>
            </w:pPr>
            <w:r>
              <w:rPr>
                <w:bCs/>
              </w:rPr>
              <w:t>02-10-2023</w:t>
            </w:r>
          </w:p>
        </w:tc>
        <w:tc>
          <w:tcPr>
            <w:tcW w:w="6298" w:type="dxa"/>
            <w:shd w:val="clear" w:color="auto" w:fill="auto"/>
          </w:tcPr>
          <w:p w14:paraId="5DA41D46" w14:textId="313091BD" w:rsidR="00A142E3" w:rsidRDefault="00A142E3" w:rsidP="00915227">
            <w:pPr>
              <w:pStyle w:val="NoSpacing"/>
              <w:rPr>
                <w:bCs/>
              </w:rPr>
            </w:pPr>
            <w:r>
              <w:rPr>
                <w:bCs/>
              </w:rPr>
              <w:t>Second Issue for Council discussion</w:t>
            </w:r>
          </w:p>
        </w:tc>
      </w:tr>
      <w:tr w:rsidR="003A6D9F" w14:paraId="6A360807" w14:textId="77777777" w:rsidTr="00595E3B">
        <w:tc>
          <w:tcPr>
            <w:tcW w:w="813" w:type="dxa"/>
            <w:shd w:val="clear" w:color="auto" w:fill="auto"/>
          </w:tcPr>
          <w:p w14:paraId="06CD1CD2" w14:textId="55835493" w:rsidR="003A6D9F" w:rsidRDefault="003A6D9F" w:rsidP="00D87A5E">
            <w:pPr>
              <w:pStyle w:val="NoSpacing"/>
              <w:rPr>
                <w:bCs/>
              </w:rPr>
            </w:pPr>
            <w:r>
              <w:rPr>
                <w:bCs/>
              </w:rPr>
              <w:t>V2.1</w:t>
            </w:r>
          </w:p>
        </w:tc>
        <w:tc>
          <w:tcPr>
            <w:tcW w:w="1389" w:type="dxa"/>
            <w:shd w:val="clear" w:color="auto" w:fill="auto"/>
          </w:tcPr>
          <w:p w14:paraId="05D754D9" w14:textId="697DC223" w:rsidR="003A6D9F" w:rsidRDefault="003A6D9F" w:rsidP="00D87A5E">
            <w:pPr>
              <w:pStyle w:val="NoSpacing"/>
              <w:rPr>
                <w:bCs/>
              </w:rPr>
            </w:pPr>
            <w:r>
              <w:rPr>
                <w:bCs/>
              </w:rPr>
              <w:t>14-11-2023</w:t>
            </w:r>
          </w:p>
        </w:tc>
        <w:tc>
          <w:tcPr>
            <w:tcW w:w="6298" w:type="dxa"/>
            <w:shd w:val="clear" w:color="auto" w:fill="auto"/>
          </w:tcPr>
          <w:p w14:paraId="30DEB0EC" w14:textId="06666FEE" w:rsidR="003A6D9F" w:rsidRDefault="003A6D9F" w:rsidP="00915227">
            <w:pPr>
              <w:pStyle w:val="NoSpacing"/>
              <w:rPr>
                <w:bCs/>
              </w:rPr>
            </w:pPr>
            <w:r>
              <w:rPr>
                <w:bCs/>
              </w:rPr>
              <w:t>Third issue for Council adoption, integrating requests for change from Council</w:t>
            </w:r>
          </w:p>
        </w:tc>
      </w:tr>
      <w:tr w:rsidR="00E73A73" w14:paraId="427C0600" w14:textId="77777777" w:rsidTr="00595E3B">
        <w:tc>
          <w:tcPr>
            <w:tcW w:w="813" w:type="dxa"/>
            <w:shd w:val="clear" w:color="auto" w:fill="auto"/>
          </w:tcPr>
          <w:p w14:paraId="5A37D85E" w14:textId="77777777" w:rsidR="00E73A73" w:rsidRDefault="00E73A73" w:rsidP="00D87A5E">
            <w:pPr>
              <w:pStyle w:val="NoSpacing"/>
              <w:rPr>
                <w:bCs/>
              </w:rPr>
            </w:pPr>
          </w:p>
        </w:tc>
        <w:tc>
          <w:tcPr>
            <w:tcW w:w="1389" w:type="dxa"/>
            <w:shd w:val="clear" w:color="auto" w:fill="auto"/>
          </w:tcPr>
          <w:p w14:paraId="2B7464EB" w14:textId="00EB5DFE" w:rsidR="00E73A73" w:rsidRDefault="00E73A73" w:rsidP="00D87A5E">
            <w:pPr>
              <w:pStyle w:val="NoSpacing"/>
              <w:rPr>
                <w:bCs/>
              </w:rPr>
            </w:pPr>
            <w:r>
              <w:rPr>
                <w:bCs/>
              </w:rPr>
              <w:t>22-11-2023</w:t>
            </w:r>
          </w:p>
        </w:tc>
        <w:tc>
          <w:tcPr>
            <w:tcW w:w="6298" w:type="dxa"/>
            <w:shd w:val="clear" w:color="auto" w:fill="auto"/>
          </w:tcPr>
          <w:p w14:paraId="2B504BE3" w14:textId="15C67E35" w:rsidR="00E73A73" w:rsidRDefault="00E73A73" w:rsidP="00915227">
            <w:pPr>
              <w:pStyle w:val="NoSpacing"/>
              <w:rPr>
                <w:bCs/>
              </w:rPr>
            </w:pPr>
            <w:r>
              <w:rPr>
                <w:bCs/>
              </w:rPr>
              <w:t>Adoption of policy by Council and entry into force on 01-01-2024</w:t>
            </w: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4C3D4220" w14:textId="77777777" w:rsidR="004474A8" w:rsidRDefault="00873234" w:rsidP="00EC504F">
      <w:r>
        <w:t xml:space="preserve">The EGI </w:t>
      </w:r>
      <w:r w:rsidR="00EC504F">
        <w:t xml:space="preserve">glossary </w:t>
      </w:r>
      <w:r>
        <w:t>of terms is</w:t>
      </w:r>
      <w:r w:rsidR="00EC504F">
        <w:t xml:space="preserve"> </w:t>
      </w:r>
      <w:r>
        <w:t xml:space="preserve">available </w:t>
      </w:r>
      <w:r w:rsidR="00EC504F">
        <w:t>at</w:t>
      </w:r>
      <w:r w:rsidR="00095606">
        <w:t xml:space="preserve"> </w:t>
      </w:r>
      <w:hyperlink r:id="rId10" w:history="1">
        <w:r w:rsidR="00095606" w:rsidRPr="00BF071C">
          <w:rPr>
            <w:rStyle w:val="Hyperlink"/>
          </w:rPr>
          <w:t>http://go.egi.eu/glossary</w:t>
        </w:r>
      </w:hyperlink>
      <w:r w:rsidR="00095606">
        <w:t>.</w:t>
      </w:r>
    </w:p>
    <w:p w14:paraId="62097336" w14:textId="77777777" w:rsidR="004474A8" w:rsidRDefault="004474A8" w:rsidP="00EC504F"/>
    <w:p w14:paraId="73299E09" w14:textId="77777777" w:rsidR="004474A8" w:rsidRDefault="004474A8">
      <w:pPr>
        <w:spacing w:after="200"/>
        <w:jc w:val="left"/>
        <w:rPr>
          <w:b/>
          <w:color w:val="4F81BD" w:themeColor="accent1"/>
        </w:rPr>
      </w:pPr>
      <w:r>
        <w:rPr>
          <w:b/>
          <w:color w:val="4F81BD" w:themeColor="accent1"/>
        </w:rPr>
        <w:br w:type="page"/>
      </w:r>
    </w:p>
    <w:p w14:paraId="2C856A8C" w14:textId="03B934C2" w:rsidR="004474A8" w:rsidRDefault="004474A8" w:rsidP="004474A8">
      <w:r>
        <w:rPr>
          <w:b/>
          <w:color w:val="4F81BD" w:themeColor="accent1"/>
        </w:rPr>
        <w:lastRenderedPageBreak/>
        <w:t>TABLE OF CONTENTS</w:t>
      </w:r>
    </w:p>
    <w:p w14:paraId="15555893" w14:textId="2FD25F4D" w:rsidR="004474A8" w:rsidRDefault="004474A8" w:rsidP="004474A8">
      <w:r>
        <w:t>Article 1.</w:t>
      </w:r>
      <w:r>
        <w:tab/>
      </w:r>
      <w:r w:rsidR="00EE2F6A">
        <w:t>Definitions</w:t>
      </w:r>
    </w:p>
    <w:p w14:paraId="0633BF78" w14:textId="059CCCCE" w:rsidR="004474A8" w:rsidRDefault="004474A8" w:rsidP="004474A8">
      <w:r>
        <w:t>Article 2.</w:t>
      </w:r>
      <w:r>
        <w:tab/>
      </w:r>
      <w:r w:rsidR="00EE2F6A">
        <w:t>Governance</w:t>
      </w:r>
    </w:p>
    <w:p w14:paraId="0A451DB0" w14:textId="7E8715F2" w:rsidR="004474A8" w:rsidRDefault="004474A8" w:rsidP="004474A8">
      <w:r>
        <w:t>Article 3.</w:t>
      </w:r>
      <w:r>
        <w:tab/>
      </w:r>
      <w:r w:rsidR="00EE2F6A">
        <w:t>Appointment of the Suppliers</w:t>
      </w:r>
    </w:p>
    <w:p w14:paraId="18909A2B" w14:textId="4BFDC32F" w:rsidR="004474A8" w:rsidRPr="00674D1C" w:rsidRDefault="004474A8" w:rsidP="004474A8">
      <w:pPr>
        <w:rPr>
          <w:lang w:val="fr-FR"/>
        </w:rPr>
      </w:pPr>
      <w:r w:rsidRPr="00674D1C">
        <w:rPr>
          <w:lang w:val="fr-FR"/>
        </w:rPr>
        <w:t>Article 4.</w:t>
      </w:r>
      <w:r w:rsidRPr="00674D1C">
        <w:rPr>
          <w:lang w:val="fr-FR"/>
        </w:rPr>
        <w:tab/>
      </w:r>
      <w:r w:rsidR="00EE2F6A" w:rsidRPr="00674D1C">
        <w:rPr>
          <w:lang w:val="fr-FR"/>
        </w:rPr>
        <w:t>EGI Core Access</w:t>
      </w:r>
    </w:p>
    <w:p w14:paraId="7E77240E" w14:textId="7DACA8EE" w:rsidR="004474A8" w:rsidRDefault="004474A8" w:rsidP="004474A8">
      <w:r w:rsidRPr="00674D1C">
        <w:rPr>
          <w:lang w:val="fr-FR"/>
        </w:rPr>
        <w:t>Article 5.</w:t>
      </w:r>
      <w:r w:rsidRPr="00674D1C">
        <w:rPr>
          <w:lang w:val="fr-FR"/>
        </w:rPr>
        <w:tab/>
      </w:r>
      <w:r w:rsidR="00EE2F6A">
        <w:t>EGI Core Funding</w:t>
      </w:r>
    </w:p>
    <w:p w14:paraId="3BAF3562" w14:textId="1159A9D2" w:rsidR="004474A8" w:rsidRDefault="004474A8" w:rsidP="004474A8">
      <w:r>
        <w:t>Article 6.</w:t>
      </w:r>
      <w:r>
        <w:tab/>
      </w:r>
      <w:r w:rsidR="00EE2F6A">
        <w:t>Performance and Reporting</w:t>
      </w:r>
    </w:p>
    <w:p w14:paraId="757EFBC6" w14:textId="77777777" w:rsidR="00EE2F6A" w:rsidRDefault="004474A8" w:rsidP="000502D5">
      <w:r>
        <w:t>Article 7.</w:t>
      </w:r>
      <w:r>
        <w:tab/>
      </w:r>
      <w:r w:rsidR="00EE2F6A">
        <w:t>Liability</w:t>
      </w:r>
    </w:p>
    <w:p w14:paraId="794F44F1" w14:textId="77777777" w:rsidR="00EE2F6A" w:rsidRDefault="00EE2F6A" w:rsidP="000502D5">
      <w:r>
        <w:t>Article 8.</w:t>
      </w:r>
      <w:r>
        <w:tab/>
        <w:t>Intellectual Property</w:t>
      </w:r>
    </w:p>
    <w:p w14:paraId="11D59699" w14:textId="77777777" w:rsidR="00EE2F6A" w:rsidRDefault="00EE2F6A" w:rsidP="000502D5">
      <w:r>
        <w:t xml:space="preserve">Article 9. </w:t>
      </w:r>
      <w:r>
        <w:tab/>
        <w:t>Governing Law and Dispute Resolution</w:t>
      </w:r>
    </w:p>
    <w:p w14:paraId="009E8BA7" w14:textId="77777777" w:rsidR="00EE2F6A" w:rsidRDefault="00EE2F6A" w:rsidP="000502D5">
      <w:r>
        <w:t>Article 10.</w:t>
      </w:r>
      <w:r>
        <w:tab/>
        <w:t>Entry into Force, Duration and Termination</w:t>
      </w:r>
    </w:p>
    <w:p w14:paraId="5042CDD9" w14:textId="4F872162" w:rsidR="00227F47" w:rsidRDefault="00EE2F6A" w:rsidP="000502D5">
      <w:r>
        <w:t xml:space="preserve">Article 11. </w:t>
      </w:r>
      <w:r>
        <w:tab/>
        <w:t>Amendment of this Policy</w:t>
      </w:r>
      <w:r w:rsidR="00227F47">
        <w:br w:type="page"/>
      </w:r>
    </w:p>
    <w:p w14:paraId="7983A99C" w14:textId="77777777" w:rsidR="00DB165B" w:rsidRPr="00DB165B" w:rsidRDefault="00DB165B" w:rsidP="00595E3B">
      <w:pPr>
        <w:rPr>
          <w:b/>
          <w:bCs/>
          <w:color w:val="4F81BD" w:themeColor="accent1"/>
          <w:sz w:val="32"/>
          <w:szCs w:val="32"/>
          <w:lang w:val="en-US"/>
        </w:rPr>
      </w:pPr>
      <w:r w:rsidRPr="00DB165B">
        <w:rPr>
          <w:b/>
          <w:bCs/>
          <w:color w:val="4F81BD" w:themeColor="accent1"/>
          <w:sz w:val="32"/>
          <w:szCs w:val="32"/>
          <w:lang w:val="en-US"/>
        </w:rPr>
        <w:lastRenderedPageBreak/>
        <w:t>Introduction</w:t>
      </w:r>
    </w:p>
    <w:p w14:paraId="15ED3150" w14:textId="6CAAA338" w:rsidR="00123C53" w:rsidRDefault="00D47905" w:rsidP="003A1407">
      <w:r>
        <w:t>EGI Participants</w:t>
      </w:r>
      <w:r w:rsidRPr="00D47905">
        <w:t xml:space="preserve"> and the </w:t>
      </w:r>
      <w:r>
        <w:t xml:space="preserve">EGI Foundation </w:t>
      </w:r>
      <w:r w:rsidR="00123C53">
        <w:t xml:space="preserve">collaboratively participate in the implementation, </w:t>
      </w:r>
      <w:r w:rsidR="00915227">
        <w:t>development,</w:t>
      </w:r>
      <w:r w:rsidR="00123C53">
        <w:t xml:space="preserve"> and support of the EGI Infrastructure, </w:t>
      </w:r>
      <w:r w:rsidR="00ED10AD">
        <w:t>which constitutes</w:t>
      </w:r>
      <w:r w:rsidR="00915227">
        <w:t xml:space="preserve"> </w:t>
      </w:r>
      <w:r w:rsidR="00123C53">
        <w:t xml:space="preserve">the pan-European </w:t>
      </w:r>
      <w:r w:rsidR="006E720E">
        <w:t xml:space="preserve">distributed </w:t>
      </w:r>
      <w:r w:rsidR="003A1407" w:rsidRPr="003A1407">
        <w:t xml:space="preserve">digital research infrastructure </w:t>
      </w:r>
      <w:r w:rsidR="00123C53">
        <w:t>federating facilities from EGI Participants.</w:t>
      </w:r>
    </w:p>
    <w:p w14:paraId="618A6708" w14:textId="69447987" w:rsidR="00123C53" w:rsidRDefault="00123C53" w:rsidP="003A1407">
      <w:r>
        <w:t>This policy defines the governance</w:t>
      </w:r>
      <w:r w:rsidR="00ED10AD">
        <w:t>, provisioning rules</w:t>
      </w:r>
      <w:r>
        <w:t xml:space="preserve"> and funding of the EGI Core, </w:t>
      </w:r>
      <w:r w:rsidR="00915227">
        <w:t xml:space="preserve">i.e. the federating </w:t>
      </w:r>
      <w:r>
        <w:t>activities and services necessary for the</w:t>
      </w:r>
      <w:r w:rsidR="00915227">
        <w:t xml:space="preserve"> delivery </w:t>
      </w:r>
      <w:r w:rsidR="00ED10AD">
        <w:t xml:space="preserve">and support </w:t>
      </w:r>
      <w:r w:rsidR="00915227">
        <w:t>of the EGI Service portfolio.</w:t>
      </w:r>
    </w:p>
    <w:p w14:paraId="0C54CA58" w14:textId="2BF5614D" w:rsidR="006B73E2" w:rsidRDefault="006B73E2" w:rsidP="006B73E2">
      <w:pPr>
        <w:pStyle w:val="Heading1"/>
      </w:pPr>
      <w:r>
        <w:t>Definitions</w:t>
      </w:r>
    </w:p>
    <w:p w14:paraId="0F5A6B35" w14:textId="0AFC7BB5" w:rsidR="00F62F25" w:rsidRPr="003A1407" w:rsidRDefault="006B73E2" w:rsidP="00F62F25">
      <w:r w:rsidRPr="006B73E2">
        <w:rPr>
          <w:b/>
          <w:bCs/>
        </w:rPr>
        <w:t>EGI Core</w:t>
      </w:r>
      <w:r w:rsidR="00E40652">
        <w:t xml:space="preserve">: </w:t>
      </w:r>
      <w:r w:rsidR="00841B9A">
        <w:t xml:space="preserve">the portfolio of </w:t>
      </w:r>
      <w:r>
        <w:t>services</w:t>
      </w:r>
      <w:r w:rsidR="00841B9A">
        <w:t xml:space="preserve"> and activities (the ‘Components’) necessary for the coordinated provisioning of the</w:t>
      </w:r>
      <w:r>
        <w:t xml:space="preserve"> EGI infrastructure. </w:t>
      </w:r>
      <w:r w:rsidR="002F7E77">
        <w:t xml:space="preserve">The EGI Core supports the objectives of the EGI Federation strategy and </w:t>
      </w:r>
      <w:r w:rsidR="00022F9F">
        <w:t xml:space="preserve">of </w:t>
      </w:r>
      <w:r w:rsidR="002F7E77">
        <w:t xml:space="preserve">the EGI Service Portfolio strategy. </w:t>
      </w:r>
    </w:p>
    <w:p w14:paraId="1D836825" w14:textId="6FD51020" w:rsidR="003A1407" w:rsidRPr="003A1407" w:rsidRDefault="003A1407" w:rsidP="000827DF">
      <w:r w:rsidRPr="003A1407">
        <w:rPr>
          <w:b/>
        </w:rPr>
        <w:t>EGI Foundation Core Service</w:t>
      </w:r>
      <w:r w:rsidR="00E40652">
        <w:t xml:space="preserve">: </w:t>
      </w:r>
      <w:r w:rsidR="002F7E77">
        <w:t>a</w:t>
      </w:r>
      <w:r w:rsidR="006B73E2">
        <w:t xml:space="preserve"> </w:t>
      </w:r>
      <w:r w:rsidR="00F62F25">
        <w:t>EGI Core Component</w:t>
      </w:r>
      <w:r w:rsidR="006B73E2">
        <w:t xml:space="preserve"> </w:t>
      </w:r>
      <w:r w:rsidR="00022F9F">
        <w:t>delivered</w:t>
      </w:r>
      <w:r w:rsidR="00F62F25">
        <w:t xml:space="preserve"> by</w:t>
      </w:r>
      <w:r w:rsidR="006B73E2">
        <w:t xml:space="preserve"> the EGI Foundation.</w:t>
      </w:r>
    </w:p>
    <w:p w14:paraId="075062DE" w14:textId="0FC0EFA3" w:rsidR="00DB165B" w:rsidRDefault="003A1407" w:rsidP="00DB165B">
      <w:r w:rsidRPr="003A1407">
        <w:rPr>
          <w:b/>
        </w:rPr>
        <w:t>EGI Federation Core Service</w:t>
      </w:r>
      <w:r w:rsidR="00E40652">
        <w:t xml:space="preserve">: </w:t>
      </w:r>
      <w:r w:rsidR="007A1C1A">
        <w:t>a</w:t>
      </w:r>
      <w:r w:rsidR="006B73E2">
        <w:t xml:space="preserve"> </w:t>
      </w:r>
      <w:r w:rsidR="00F62F25">
        <w:t>EGI Core Component</w:t>
      </w:r>
      <w:r w:rsidR="000827DF" w:rsidRPr="000827DF">
        <w:t xml:space="preserve"> </w:t>
      </w:r>
      <w:r w:rsidR="00022F9F">
        <w:t>delivered</w:t>
      </w:r>
      <w:r w:rsidR="000827DF" w:rsidRPr="000827DF">
        <w:t xml:space="preserve"> </w:t>
      </w:r>
      <w:r w:rsidR="00F62F25">
        <w:t>by EGI</w:t>
      </w:r>
      <w:r w:rsidR="000827DF">
        <w:t xml:space="preserve"> </w:t>
      </w:r>
      <w:r w:rsidR="00F62F25">
        <w:t>P</w:t>
      </w:r>
      <w:r w:rsidR="000827DF">
        <w:t>articipants</w:t>
      </w:r>
      <w:r w:rsidR="00022F9F">
        <w:t xml:space="preserve"> or by their represented organisations</w:t>
      </w:r>
      <w:r w:rsidR="000827DF">
        <w:t xml:space="preserve">. </w:t>
      </w:r>
    </w:p>
    <w:p w14:paraId="37749AC2" w14:textId="2D020D95" w:rsidR="007A1C1A" w:rsidRDefault="007A1C1A" w:rsidP="00DB165B">
      <w:r w:rsidRPr="009F7A5A">
        <w:rPr>
          <w:b/>
          <w:bCs/>
        </w:rPr>
        <w:t>EGI Core Supplier</w:t>
      </w:r>
      <w:r w:rsidR="00AD3D48">
        <w:rPr>
          <w:b/>
          <w:bCs/>
        </w:rPr>
        <w:t xml:space="preserve"> (the ‘Supplier’)</w:t>
      </w:r>
      <w:r w:rsidR="00E40652">
        <w:t>: a</w:t>
      </w:r>
      <w:r>
        <w:t xml:space="preserve"> EGI Participant </w:t>
      </w:r>
      <w:r w:rsidR="00022F9F">
        <w:t xml:space="preserve">or an organisation represented by a EGI Participant </w:t>
      </w:r>
      <w:r w:rsidR="009F7A5A">
        <w:t xml:space="preserve">entrusted by the EGI Council to deliver </w:t>
      </w:r>
      <w:r w:rsidR="00E40652">
        <w:t xml:space="preserve">one or multiple </w:t>
      </w:r>
      <w:r w:rsidR="00022F9F">
        <w:t>C</w:t>
      </w:r>
      <w:r w:rsidR="00E40652">
        <w:t xml:space="preserve">omponents of </w:t>
      </w:r>
      <w:r w:rsidR="009F7A5A">
        <w:t>the EGI Core.</w:t>
      </w:r>
    </w:p>
    <w:p w14:paraId="445B5CB3" w14:textId="02F71653" w:rsidR="00E40652" w:rsidRDefault="00E40652" w:rsidP="00DB165B">
      <w:r>
        <w:rPr>
          <w:b/>
          <w:bCs/>
        </w:rPr>
        <w:t xml:space="preserve">EGI Core Plan: </w:t>
      </w:r>
      <w:r>
        <w:t xml:space="preserve">the multi-annual plan defining the EGI Core </w:t>
      </w:r>
      <w:r w:rsidR="00B87285" w:rsidRPr="00B87285">
        <w:t xml:space="preserve">strategy, its priority, implementation, and </w:t>
      </w:r>
      <w:r>
        <w:t>funding.</w:t>
      </w:r>
    </w:p>
    <w:p w14:paraId="71342ED4" w14:textId="51AE7222" w:rsidR="007A43DB" w:rsidRDefault="00022F9F" w:rsidP="00DB165B">
      <w:r>
        <w:rPr>
          <w:b/>
          <w:bCs/>
        </w:rPr>
        <w:t xml:space="preserve">EGI Core </w:t>
      </w:r>
      <w:r w:rsidR="00ED10AD">
        <w:rPr>
          <w:b/>
          <w:bCs/>
        </w:rPr>
        <w:t xml:space="preserve">Collaboration </w:t>
      </w:r>
      <w:r w:rsidR="007A43DB" w:rsidRPr="007A43DB">
        <w:rPr>
          <w:b/>
          <w:bCs/>
        </w:rPr>
        <w:t>Agreement</w:t>
      </w:r>
      <w:r w:rsidR="0039154D">
        <w:rPr>
          <w:b/>
          <w:bCs/>
        </w:rPr>
        <w:t xml:space="preserve"> (the ‘Agreement’)</w:t>
      </w:r>
      <w:r w:rsidR="007A43DB">
        <w:t xml:space="preserve">: the agreement entered </w:t>
      </w:r>
      <w:r w:rsidR="002809FA">
        <w:t xml:space="preserve">periodically </w:t>
      </w:r>
      <w:r w:rsidR="007A43DB">
        <w:t xml:space="preserve">by the EGI Foundation and </w:t>
      </w:r>
      <w:r w:rsidR="00EE6CD8">
        <w:t>signed for acceptance by the</w:t>
      </w:r>
      <w:r w:rsidR="007A43DB">
        <w:t xml:space="preserve"> EGI Core Supplier</w:t>
      </w:r>
      <w:r w:rsidR="00EE6CD8">
        <w:t>,</w:t>
      </w:r>
      <w:r w:rsidR="007A43DB">
        <w:t xml:space="preserve"> defining the </w:t>
      </w:r>
      <w:r>
        <w:t xml:space="preserve">Supplier’s </w:t>
      </w:r>
      <w:r w:rsidR="007A43DB">
        <w:t xml:space="preserve">scope of work to be performed, </w:t>
      </w:r>
      <w:r w:rsidR="00D3061E">
        <w:t xml:space="preserve">the </w:t>
      </w:r>
      <w:r>
        <w:t xml:space="preserve">service levels, </w:t>
      </w:r>
      <w:r w:rsidR="005438BD">
        <w:t xml:space="preserve">the </w:t>
      </w:r>
      <w:r w:rsidR="00D3061E">
        <w:t xml:space="preserve">provisioning terms, </w:t>
      </w:r>
      <w:r w:rsidR="007A43DB">
        <w:t xml:space="preserve">the </w:t>
      </w:r>
      <w:r w:rsidR="005438BD">
        <w:t>duration,</w:t>
      </w:r>
      <w:r w:rsidR="007A43DB">
        <w:t xml:space="preserve"> and the agreed financial contribution</w:t>
      </w:r>
      <w:r w:rsidR="0095153E">
        <w:t>s</w:t>
      </w:r>
      <w:r w:rsidR="007A43DB">
        <w:t>.</w:t>
      </w:r>
    </w:p>
    <w:p w14:paraId="698BCC41" w14:textId="2547FC68" w:rsidR="009F6714" w:rsidRPr="00E40652" w:rsidRDefault="009F6714" w:rsidP="00DB165B">
      <w:r w:rsidRPr="009F6714">
        <w:rPr>
          <w:b/>
          <w:bCs/>
        </w:rPr>
        <w:t>EGI</w:t>
      </w:r>
      <w:r>
        <w:t xml:space="preserve"> </w:t>
      </w:r>
      <w:r w:rsidRPr="009F6714">
        <w:rPr>
          <w:b/>
          <w:bCs/>
        </w:rPr>
        <w:t>Core Result (the ‘Result’):</w:t>
      </w:r>
      <w:r>
        <w:t xml:space="preserve"> </w:t>
      </w:r>
      <w:r w:rsidRPr="009F6714">
        <w:t xml:space="preserve">any (tangible or intangible) output of the </w:t>
      </w:r>
      <w:r>
        <w:t>performance of the EGI Core Component,</w:t>
      </w:r>
      <w:r w:rsidRPr="009F6714">
        <w:t xml:space="preserve"> such as data, knowledge, or information — whatever its form or nature, whether it can be protected or not — that is generated in the </w:t>
      </w:r>
      <w:r>
        <w:t>performance of the EGI Core Component</w:t>
      </w:r>
      <w:r w:rsidRPr="009F6714">
        <w:t>, as well as any rights attached to it, including intellectual property rights</w:t>
      </w:r>
      <w:r>
        <w:t xml:space="preserve">. </w:t>
      </w:r>
    </w:p>
    <w:p w14:paraId="32258B49" w14:textId="3D847FB9" w:rsidR="00C33D16" w:rsidRDefault="00A33AC2" w:rsidP="000827DF">
      <w:pPr>
        <w:pStyle w:val="Heading1"/>
      </w:pPr>
      <w:r>
        <w:t>G</w:t>
      </w:r>
      <w:r w:rsidR="00C33D16">
        <w:t>overnance</w:t>
      </w:r>
    </w:p>
    <w:p w14:paraId="2146C268" w14:textId="4C3AECDC" w:rsidR="004E293C" w:rsidRPr="004E293C" w:rsidRDefault="004E293C" w:rsidP="002A1002">
      <w:pPr>
        <w:pStyle w:val="ListParagraph"/>
        <w:numPr>
          <w:ilvl w:val="0"/>
          <w:numId w:val="18"/>
        </w:numPr>
      </w:pPr>
      <w:r>
        <w:t>The EGI Council shall:</w:t>
      </w:r>
    </w:p>
    <w:p w14:paraId="0DFCBC00" w14:textId="2C5D6735" w:rsidR="004E293C" w:rsidRPr="00CE52EC" w:rsidRDefault="00B87285" w:rsidP="002A1002">
      <w:pPr>
        <w:pStyle w:val="ListParagraph"/>
        <w:numPr>
          <w:ilvl w:val="1"/>
          <w:numId w:val="18"/>
        </w:numPr>
        <w:spacing w:after="200"/>
        <w:rPr>
          <w:lang w:val="en-US"/>
        </w:rPr>
      </w:pPr>
      <w:r>
        <w:rPr>
          <w:lang w:val="en-US"/>
        </w:rPr>
        <w:t>Define and a</w:t>
      </w:r>
      <w:r w:rsidR="00CE52EC">
        <w:rPr>
          <w:lang w:val="en-US"/>
        </w:rPr>
        <w:t xml:space="preserve">pprove the </w:t>
      </w:r>
      <w:r w:rsidR="004E293C" w:rsidRPr="00CE52EC">
        <w:rPr>
          <w:lang w:val="en-US"/>
        </w:rPr>
        <w:t xml:space="preserve">EGI Core </w:t>
      </w:r>
      <w:r w:rsidR="00A04362" w:rsidRPr="00CE52EC">
        <w:rPr>
          <w:lang w:val="en-US"/>
        </w:rPr>
        <w:t>Plan</w:t>
      </w:r>
      <w:r w:rsidR="009C6B92">
        <w:rPr>
          <w:lang w:val="en-US"/>
        </w:rPr>
        <w:t xml:space="preserve"> </w:t>
      </w:r>
      <w:r w:rsidR="00E40652">
        <w:rPr>
          <w:lang w:val="en-US"/>
        </w:rPr>
        <w:t>upon proposal</w:t>
      </w:r>
      <w:r w:rsidR="009C6B92">
        <w:rPr>
          <w:lang w:val="en-US"/>
        </w:rPr>
        <w:t xml:space="preserve"> by the EGI Foundation</w:t>
      </w:r>
      <w:r w:rsidR="001F1FC7">
        <w:rPr>
          <w:lang w:val="en-US"/>
        </w:rPr>
        <w:t xml:space="preserve"> and</w:t>
      </w:r>
      <w:r w:rsidR="009C6B92">
        <w:rPr>
          <w:lang w:val="en-US"/>
        </w:rPr>
        <w:t xml:space="preserve"> in consultation with </w:t>
      </w:r>
      <w:r w:rsidR="007A1C1A">
        <w:rPr>
          <w:lang w:val="en-US"/>
        </w:rPr>
        <w:t xml:space="preserve">relevant stakeholders such as </w:t>
      </w:r>
      <w:r w:rsidR="009C6B92">
        <w:rPr>
          <w:lang w:val="en-US"/>
        </w:rPr>
        <w:t xml:space="preserve">user </w:t>
      </w:r>
      <w:r w:rsidR="007A1C1A">
        <w:rPr>
          <w:lang w:val="en-US"/>
        </w:rPr>
        <w:t>communities and the Suppliers.</w:t>
      </w:r>
      <w:r w:rsidR="004E293C" w:rsidRPr="00CE52EC">
        <w:rPr>
          <w:lang w:val="en-US"/>
        </w:rPr>
        <w:t xml:space="preserve"> </w:t>
      </w:r>
    </w:p>
    <w:p w14:paraId="386BDCBC" w14:textId="4E877491" w:rsidR="004E293C" w:rsidRDefault="007A1C1A" w:rsidP="002A1002">
      <w:pPr>
        <w:pStyle w:val="ListParagraph"/>
        <w:numPr>
          <w:ilvl w:val="1"/>
          <w:numId w:val="18"/>
        </w:numPr>
        <w:spacing w:after="200"/>
        <w:rPr>
          <w:lang w:val="en-US"/>
        </w:rPr>
      </w:pPr>
      <w:r>
        <w:rPr>
          <w:lang w:val="en-US"/>
        </w:rPr>
        <w:t>R</w:t>
      </w:r>
      <w:r w:rsidR="004E293C">
        <w:rPr>
          <w:lang w:val="en-US"/>
        </w:rPr>
        <w:t>eview and update the Plan</w:t>
      </w:r>
      <w:r>
        <w:rPr>
          <w:lang w:val="en-US"/>
        </w:rPr>
        <w:t xml:space="preserve"> </w:t>
      </w:r>
      <w:r w:rsidR="00681648">
        <w:rPr>
          <w:lang w:val="en-US"/>
        </w:rPr>
        <w:t>annually unless</w:t>
      </w:r>
      <w:r>
        <w:rPr>
          <w:lang w:val="en-US"/>
        </w:rPr>
        <w:t xml:space="preserve"> </w:t>
      </w:r>
      <w:r w:rsidR="001F1FC7">
        <w:rPr>
          <w:lang w:val="en-US"/>
        </w:rPr>
        <w:t>a different frequency is agreed</w:t>
      </w:r>
      <w:r>
        <w:rPr>
          <w:lang w:val="en-US"/>
        </w:rPr>
        <w:t xml:space="preserve"> by the Council. </w:t>
      </w:r>
    </w:p>
    <w:p w14:paraId="76AB0AC8" w14:textId="03108E04" w:rsidR="00C33D16" w:rsidRDefault="004E293C" w:rsidP="002A1002">
      <w:pPr>
        <w:pStyle w:val="ListParagraph"/>
        <w:numPr>
          <w:ilvl w:val="1"/>
          <w:numId w:val="18"/>
        </w:numPr>
        <w:spacing w:after="200"/>
        <w:rPr>
          <w:lang w:val="en-US"/>
        </w:rPr>
      </w:pPr>
      <w:r>
        <w:rPr>
          <w:lang w:val="en-US"/>
        </w:rPr>
        <w:lastRenderedPageBreak/>
        <w:t xml:space="preserve">Delegate the coordination, </w:t>
      </w:r>
      <w:r w:rsidR="009044B5">
        <w:rPr>
          <w:lang w:val="en-US"/>
        </w:rPr>
        <w:t>implementation,</w:t>
      </w:r>
      <w:r>
        <w:rPr>
          <w:lang w:val="en-US"/>
        </w:rPr>
        <w:t xml:space="preserve"> and oversight of the Plan </w:t>
      </w:r>
      <w:r w:rsidR="007A1C1A">
        <w:rPr>
          <w:lang w:val="en-US"/>
        </w:rPr>
        <w:t xml:space="preserve">execution </w:t>
      </w:r>
      <w:r>
        <w:rPr>
          <w:lang w:val="en-US"/>
        </w:rPr>
        <w:t xml:space="preserve">to the EGI Foundation, who </w:t>
      </w:r>
      <w:r w:rsidR="00CE52EC">
        <w:rPr>
          <w:lang w:val="en-US"/>
        </w:rPr>
        <w:t>shall</w:t>
      </w:r>
      <w:r>
        <w:rPr>
          <w:lang w:val="en-US"/>
        </w:rPr>
        <w:t xml:space="preserve"> </w:t>
      </w:r>
      <w:r w:rsidR="00CE52EC">
        <w:rPr>
          <w:lang w:val="en-US"/>
        </w:rPr>
        <w:t>report</w:t>
      </w:r>
      <w:r>
        <w:rPr>
          <w:lang w:val="en-US"/>
        </w:rPr>
        <w:t xml:space="preserve"> </w:t>
      </w:r>
      <w:r w:rsidR="001F1FC7">
        <w:rPr>
          <w:lang w:val="en-US"/>
        </w:rPr>
        <w:t xml:space="preserve">at least </w:t>
      </w:r>
      <w:r w:rsidR="007A1C1A">
        <w:rPr>
          <w:lang w:val="en-US"/>
        </w:rPr>
        <w:t>annually to the EB and the Council</w:t>
      </w:r>
      <w:r w:rsidR="001F1FC7">
        <w:rPr>
          <w:lang w:val="en-US"/>
        </w:rPr>
        <w:t>.</w:t>
      </w:r>
    </w:p>
    <w:p w14:paraId="01104BBB" w14:textId="164D2277" w:rsidR="002A1002" w:rsidRPr="00884BC8" w:rsidRDefault="0054285E" w:rsidP="00884BC8">
      <w:pPr>
        <w:pStyle w:val="ListParagraph"/>
        <w:numPr>
          <w:ilvl w:val="0"/>
          <w:numId w:val="18"/>
        </w:numPr>
        <w:spacing w:after="200"/>
      </w:pPr>
      <w:r w:rsidRPr="002A1002">
        <w:rPr>
          <w:lang w:val="en-US"/>
        </w:rPr>
        <w:t xml:space="preserve">The EGI </w:t>
      </w:r>
      <w:r w:rsidR="00EE6CD8">
        <w:rPr>
          <w:lang w:val="en-US"/>
        </w:rPr>
        <w:t>Foundation</w:t>
      </w:r>
      <w:r w:rsidRPr="002A1002">
        <w:rPr>
          <w:lang w:val="en-US"/>
        </w:rPr>
        <w:t xml:space="preserve"> and the Supplier shall </w:t>
      </w:r>
      <w:r w:rsidR="00EE6CD8">
        <w:rPr>
          <w:lang w:val="en-US"/>
        </w:rPr>
        <w:t>abide to the terms set in this policy</w:t>
      </w:r>
      <w:r w:rsidR="002B5A7E">
        <w:rPr>
          <w:lang w:val="en-US"/>
        </w:rPr>
        <w:t xml:space="preserve"> and the Agreement</w:t>
      </w:r>
      <w:r w:rsidR="00EE6CD8">
        <w:rPr>
          <w:lang w:val="en-US"/>
        </w:rPr>
        <w:t>.</w:t>
      </w:r>
      <w:r w:rsidR="00884BC8">
        <w:rPr>
          <w:lang w:val="en-US"/>
        </w:rPr>
        <w:t xml:space="preserve"> </w:t>
      </w:r>
      <w:r w:rsidR="00884BC8" w:rsidRPr="00884BC8">
        <w:t>Contents of the Agreement may be reviewed and amended at any time during the duration of the Agreement upon written request of one of the parties involved.</w:t>
      </w:r>
    </w:p>
    <w:p w14:paraId="4FA72BBB" w14:textId="282FEA47" w:rsidR="002A1002" w:rsidRPr="00596582" w:rsidRDefault="002A1002" w:rsidP="003A6D9F">
      <w:pPr>
        <w:pStyle w:val="ListParagraph"/>
        <w:numPr>
          <w:ilvl w:val="0"/>
          <w:numId w:val="18"/>
        </w:numPr>
        <w:spacing w:after="200"/>
        <w:rPr>
          <w:lang w:val="en-US"/>
        </w:rPr>
      </w:pPr>
      <w:r w:rsidRPr="002A1002">
        <w:rPr>
          <w:lang w:val="en-US"/>
        </w:rPr>
        <w:t xml:space="preserve">The </w:t>
      </w:r>
      <w:r w:rsidRPr="002A1002">
        <w:t xml:space="preserve">EGI Executive Board </w:t>
      </w:r>
      <w:r>
        <w:t>shall</w:t>
      </w:r>
      <w:r w:rsidRPr="002A1002">
        <w:t xml:space="preserve"> </w:t>
      </w:r>
      <w:r w:rsidR="00493659">
        <w:t xml:space="preserve">periodically assess the strategic relevance of the EGI Core and </w:t>
      </w:r>
      <w:r>
        <w:t>review</w:t>
      </w:r>
      <w:r w:rsidRPr="002A1002">
        <w:t xml:space="preserve"> and </w:t>
      </w:r>
      <w:r>
        <w:t>approve</w:t>
      </w:r>
      <w:r w:rsidRPr="002A1002">
        <w:t xml:space="preserve"> the Service reports </w:t>
      </w:r>
      <w:r>
        <w:t>as set in Article 6.</w:t>
      </w:r>
    </w:p>
    <w:p w14:paraId="6CA72BF4" w14:textId="35DE3B39" w:rsidR="000827DF" w:rsidRDefault="001F1FC7" w:rsidP="000827DF">
      <w:pPr>
        <w:pStyle w:val="Heading1"/>
      </w:pPr>
      <w:r>
        <w:t xml:space="preserve">Appointment of </w:t>
      </w:r>
      <w:r w:rsidR="00EE2F6A">
        <w:t xml:space="preserve">the </w:t>
      </w:r>
      <w:r>
        <w:t>Suppliers</w:t>
      </w:r>
    </w:p>
    <w:p w14:paraId="0AE8B9BF" w14:textId="7EF92F01" w:rsidR="001F1FC7" w:rsidRPr="001F1FC7" w:rsidRDefault="001F1FC7" w:rsidP="001F1FC7">
      <w:r>
        <w:t>The EGI Council shall</w:t>
      </w:r>
    </w:p>
    <w:p w14:paraId="6F24B230" w14:textId="28FAC529" w:rsidR="001F1FC7" w:rsidRPr="001F1FC7" w:rsidRDefault="001F1FC7" w:rsidP="001F1FC7">
      <w:pPr>
        <w:pStyle w:val="ListParagraph"/>
        <w:numPr>
          <w:ilvl w:val="0"/>
          <w:numId w:val="17"/>
        </w:numPr>
        <w:rPr>
          <w:lang w:val="en-US"/>
        </w:rPr>
      </w:pPr>
      <w:r w:rsidRPr="001F1FC7">
        <w:t>Entrust the delivery of EGI Core Components to the EGI Foundation and EGI full Participants</w:t>
      </w:r>
      <w:r w:rsidR="002809FA">
        <w:t xml:space="preserve"> and their represented organisations in the Council</w:t>
      </w:r>
      <w:r w:rsidRPr="001F1FC7">
        <w:t xml:space="preserve">, to be appointed through an internal tendering procedure. Associated Participants are </w:t>
      </w:r>
      <w:r w:rsidRPr="001F1FC7">
        <w:rPr>
          <w:lang w:val="en-US"/>
        </w:rPr>
        <w:t xml:space="preserve">not eligible, unless otherwise decided by the Council. </w:t>
      </w:r>
    </w:p>
    <w:p w14:paraId="196AA5A2" w14:textId="376A8372" w:rsidR="002B5A7E" w:rsidRDefault="00681648" w:rsidP="00DB3D44">
      <w:pPr>
        <w:pStyle w:val="ListParagraph"/>
        <w:numPr>
          <w:ilvl w:val="0"/>
          <w:numId w:val="17"/>
        </w:numPr>
        <w:spacing w:after="200"/>
        <w:rPr>
          <w:lang w:val="en-US"/>
        </w:rPr>
      </w:pPr>
      <w:r>
        <w:rPr>
          <w:lang w:val="en-US"/>
        </w:rPr>
        <w:t xml:space="preserve">Oversee the selection of Suppliers </w:t>
      </w:r>
      <w:r w:rsidR="002B5A7E">
        <w:rPr>
          <w:lang w:val="en-US"/>
        </w:rPr>
        <w:t>taking into consideration</w:t>
      </w:r>
      <w:r>
        <w:rPr>
          <w:lang w:val="en-US"/>
        </w:rPr>
        <w:t xml:space="preserve"> the experience of the contenders and </w:t>
      </w:r>
      <w:r w:rsidRPr="00681648">
        <w:t>the best price-quality ratio</w:t>
      </w:r>
      <w:r>
        <w:t xml:space="preserve"> offered</w:t>
      </w:r>
      <w:r>
        <w:rPr>
          <w:lang w:val="en-US"/>
        </w:rPr>
        <w:t xml:space="preserve">. </w:t>
      </w:r>
    </w:p>
    <w:p w14:paraId="1CA7DF0D" w14:textId="6804C0F0" w:rsidR="001F1FC7" w:rsidRPr="001F1FC7" w:rsidRDefault="00681648" w:rsidP="00DB3D44">
      <w:pPr>
        <w:pStyle w:val="ListParagraph"/>
        <w:numPr>
          <w:ilvl w:val="0"/>
          <w:numId w:val="17"/>
        </w:numPr>
        <w:spacing w:after="200"/>
        <w:rPr>
          <w:lang w:val="en-US"/>
        </w:rPr>
      </w:pPr>
      <w:r>
        <w:rPr>
          <w:lang w:val="en-US"/>
        </w:rPr>
        <w:t>The tendering procedure is conducted by the EGI Foundation.</w:t>
      </w:r>
    </w:p>
    <w:p w14:paraId="03E5E17E" w14:textId="0D82E448" w:rsidR="009F7A5A" w:rsidRDefault="009F7A5A" w:rsidP="008E145B">
      <w:pPr>
        <w:pStyle w:val="Heading1"/>
      </w:pPr>
      <w:r>
        <w:t xml:space="preserve">EGI Core </w:t>
      </w:r>
      <w:r w:rsidR="001207D1">
        <w:t>A</w:t>
      </w:r>
      <w:r>
        <w:t>ccess</w:t>
      </w:r>
    </w:p>
    <w:p w14:paraId="717980C0" w14:textId="324EEB1B" w:rsidR="005B66D4" w:rsidRDefault="00681648" w:rsidP="000D7CD7">
      <w:pPr>
        <w:pStyle w:val="ListParagraph"/>
        <w:numPr>
          <w:ilvl w:val="0"/>
          <w:numId w:val="34"/>
        </w:numPr>
      </w:pPr>
      <w:r>
        <w:t xml:space="preserve">Access to the EGI Core </w:t>
      </w:r>
      <w:r w:rsidR="005B66D4">
        <w:t>shall be</w:t>
      </w:r>
      <w:r>
        <w:t xml:space="preserve"> limited to</w:t>
      </w:r>
      <w:r w:rsidR="005B66D4">
        <w:t>:</w:t>
      </w:r>
    </w:p>
    <w:p w14:paraId="6256B45D" w14:textId="3B29D72C" w:rsidR="005B66D4" w:rsidRDefault="002809FA" w:rsidP="005B66D4">
      <w:pPr>
        <w:pStyle w:val="ListParagraph"/>
        <w:numPr>
          <w:ilvl w:val="1"/>
          <w:numId w:val="34"/>
        </w:numPr>
      </w:pPr>
      <w:r>
        <w:t>Organisations</w:t>
      </w:r>
      <w:r w:rsidR="00681648">
        <w:t xml:space="preserve"> </w:t>
      </w:r>
      <w:r w:rsidR="000D7CD7">
        <w:t>represented in the</w:t>
      </w:r>
      <w:r w:rsidR="00681648">
        <w:t xml:space="preserve"> EGI Council</w:t>
      </w:r>
      <w:r w:rsidR="005B66D4">
        <w:t>.</w:t>
      </w:r>
    </w:p>
    <w:p w14:paraId="6CB73073" w14:textId="34EF5129" w:rsidR="005B66D4" w:rsidRDefault="002809FA" w:rsidP="005B66D4">
      <w:pPr>
        <w:pStyle w:val="ListParagraph"/>
        <w:numPr>
          <w:ilvl w:val="1"/>
          <w:numId w:val="34"/>
        </w:numPr>
      </w:pPr>
      <w:r>
        <w:t>Organisations participating</w:t>
      </w:r>
      <w:r w:rsidR="005B66D4">
        <w:t xml:space="preserve"> in the EGI Digital Innovation Hub</w:t>
      </w:r>
      <w:r>
        <w:t xml:space="preserve"> (DIH) as regulated by the EGI DIH partnership.</w:t>
      </w:r>
    </w:p>
    <w:p w14:paraId="593EA9D3" w14:textId="5F4EC09B" w:rsidR="005B66D4" w:rsidRDefault="002809FA" w:rsidP="005B66D4">
      <w:pPr>
        <w:pStyle w:val="ListParagraph"/>
        <w:numPr>
          <w:ilvl w:val="1"/>
          <w:numId w:val="34"/>
        </w:numPr>
      </w:pPr>
      <w:r>
        <w:t>Organisations</w:t>
      </w:r>
      <w:r w:rsidR="005B66D4">
        <w:t xml:space="preserve"> </w:t>
      </w:r>
      <w:r>
        <w:t>approved for access by the Council according to an established</w:t>
      </w:r>
      <w:r w:rsidR="005B66D4">
        <w:t xml:space="preserve"> Memorandum of Understanding or other collaboration agreement.</w:t>
      </w:r>
    </w:p>
    <w:p w14:paraId="128EC61B" w14:textId="227BEEAE" w:rsidR="000D7CD7" w:rsidRDefault="005B66D4" w:rsidP="005B66D4">
      <w:pPr>
        <w:pStyle w:val="ListParagraph"/>
        <w:numPr>
          <w:ilvl w:val="1"/>
          <w:numId w:val="34"/>
        </w:numPr>
      </w:pPr>
      <w:r>
        <w:t xml:space="preserve">Entities paying an </w:t>
      </w:r>
      <w:r w:rsidR="00055B35">
        <w:t xml:space="preserve">annual </w:t>
      </w:r>
      <w:r>
        <w:t xml:space="preserve">access fee upon approval </w:t>
      </w:r>
      <w:r w:rsidR="00055B35">
        <w:t>by</w:t>
      </w:r>
      <w:r>
        <w:t xml:space="preserve"> the EGI Council.</w:t>
      </w:r>
    </w:p>
    <w:p w14:paraId="0A57CA82" w14:textId="5A1B6E55" w:rsidR="005B66D4" w:rsidRDefault="005B66D4" w:rsidP="005B66D4">
      <w:pPr>
        <w:pStyle w:val="ListParagraph"/>
        <w:numPr>
          <w:ilvl w:val="1"/>
          <w:numId w:val="34"/>
        </w:numPr>
      </w:pPr>
      <w:r>
        <w:t xml:space="preserve">Other entities upon approval </w:t>
      </w:r>
      <w:r w:rsidR="00055B35">
        <w:t>by the EGI Council.</w:t>
      </w:r>
    </w:p>
    <w:p w14:paraId="5DB07D17" w14:textId="5BD71BC3" w:rsidR="00055B35" w:rsidRDefault="005B66D4" w:rsidP="000D7CD7">
      <w:pPr>
        <w:pStyle w:val="ListParagraph"/>
        <w:numPr>
          <w:ilvl w:val="0"/>
          <w:numId w:val="34"/>
        </w:numPr>
      </w:pPr>
      <w:r>
        <w:t>Access to the EGI Core shall be ter</w:t>
      </w:r>
      <w:r w:rsidR="00055B35">
        <w:t xml:space="preserve">minated in </w:t>
      </w:r>
      <w:r w:rsidR="002809FA">
        <w:t>the following</w:t>
      </w:r>
      <w:r w:rsidR="00055B35">
        <w:t xml:space="preserve"> </w:t>
      </w:r>
      <w:r w:rsidR="002809FA">
        <w:t>events</w:t>
      </w:r>
      <w:r w:rsidR="006F79B7">
        <w:t>:</w:t>
      </w:r>
      <w:r w:rsidR="00055B35">
        <w:t xml:space="preserve"> </w:t>
      </w:r>
    </w:p>
    <w:p w14:paraId="2CB4956E" w14:textId="66A2001E" w:rsidR="00055B35" w:rsidRDefault="00055B35" w:rsidP="00055B35">
      <w:pPr>
        <w:pStyle w:val="ListParagraph"/>
        <w:numPr>
          <w:ilvl w:val="1"/>
          <w:numId w:val="34"/>
        </w:numPr>
      </w:pPr>
      <w:r>
        <w:t xml:space="preserve">Withdrawal from the EGI Council </w:t>
      </w:r>
      <w:r w:rsidR="006F79B7">
        <w:t xml:space="preserve">in case of entities accessing the EGI Core according to </w:t>
      </w:r>
      <w:r>
        <w:t>Article 4.1.a.</w:t>
      </w:r>
    </w:p>
    <w:p w14:paraId="126B503B" w14:textId="3C2FD039" w:rsidR="00055B35" w:rsidRDefault="00055B35" w:rsidP="00055B35">
      <w:pPr>
        <w:pStyle w:val="ListParagraph"/>
        <w:numPr>
          <w:ilvl w:val="1"/>
          <w:numId w:val="34"/>
        </w:numPr>
      </w:pPr>
      <w:r>
        <w:t>Termination of the EGI DIH partnership</w:t>
      </w:r>
      <w:r w:rsidR="006F79B7">
        <w:t xml:space="preserve">, </w:t>
      </w:r>
      <w:r w:rsidR="006F79B7" w:rsidRPr="006F79B7">
        <w:t xml:space="preserve">in case of entities accessing the EGI Core according to </w:t>
      </w:r>
      <w:r>
        <w:t>Article 4.1.b.</w:t>
      </w:r>
    </w:p>
    <w:p w14:paraId="68015149" w14:textId="123B4E46" w:rsidR="00055B35" w:rsidRDefault="00055B35" w:rsidP="00055B35">
      <w:pPr>
        <w:pStyle w:val="ListParagraph"/>
        <w:numPr>
          <w:ilvl w:val="1"/>
          <w:numId w:val="34"/>
        </w:numPr>
      </w:pPr>
      <w:r>
        <w:t>Termination of the established agreement</w:t>
      </w:r>
      <w:r w:rsidR="006F79B7">
        <w:t xml:space="preserve">, </w:t>
      </w:r>
      <w:r w:rsidR="006F79B7" w:rsidRPr="006F79B7">
        <w:t xml:space="preserve">in case of entities accessing the EGI Core according to </w:t>
      </w:r>
      <w:r>
        <w:t>Article 4.1.c</w:t>
      </w:r>
      <w:r w:rsidR="009245AE">
        <w:t xml:space="preserve"> and Article 4.1.e</w:t>
      </w:r>
      <w:r>
        <w:t>.</w:t>
      </w:r>
    </w:p>
    <w:p w14:paraId="7B61E787" w14:textId="0232756B" w:rsidR="00055B35" w:rsidRDefault="00055B35" w:rsidP="00055B35">
      <w:pPr>
        <w:pStyle w:val="ListParagraph"/>
        <w:numPr>
          <w:ilvl w:val="1"/>
          <w:numId w:val="34"/>
        </w:numPr>
      </w:pPr>
      <w:r>
        <w:t xml:space="preserve">Termination of the </w:t>
      </w:r>
      <w:r w:rsidR="002809FA">
        <w:t>A</w:t>
      </w:r>
      <w:r>
        <w:t>greement</w:t>
      </w:r>
      <w:r w:rsidR="006F79B7">
        <w:t xml:space="preserve">, </w:t>
      </w:r>
      <w:r w:rsidR="006F79B7" w:rsidRPr="006F79B7">
        <w:t xml:space="preserve">in case of entities accessing the EGI Core according to </w:t>
      </w:r>
      <w:r>
        <w:t>Article 4.1.d</w:t>
      </w:r>
      <w:r w:rsidR="006F79B7">
        <w:t>.</w:t>
      </w:r>
    </w:p>
    <w:p w14:paraId="583098A2" w14:textId="26402EC4" w:rsidR="00055B35" w:rsidRDefault="009245AE" w:rsidP="00055B35">
      <w:pPr>
        <w:pStyle w:val="ListParagraph"/>
        <w:numPr>
          <w:ilvl w:val="1"/>
          <w:numId w:val="34"/>
        </w:numPr>
      </w:pPr>
      <w:r>
        <w:lastRenderedPageBreak/>
        <w:t>No commitment to the</w:t>
      </w:r>
      <w:r w:rsidR="00055B35">
        <w:t xml:space="preserve"> payment</w:t>
      </w:r>
      <w:r>
        <w:t xml:space="preserve"> or 6 month overdue payment</w:t>
      </w:r>
      <w:r w:rsidR="00055B35">
        <w:t xml:space="preserve"> of the agreed financial contribution</w:t>
      </w:r>
      <w:r w:rsidR="006F79B7">
        <w:t xml:space="preserve"> </w:t>
      </w:r>
      <w:r w:rsidR="006F79B7" w:rsidRPr="006F79B7">
        <w:t xml:space="preserve">in case of </w:t>
      </w:r>
      <w:r>
        <w:t>organisations</w:t>
      </w:r>
      <w:r w:rsidR="006F79B7" w:rsidRPr="006F79B7">
        <w:t xml:space="preserve"> accessing the EGI Core according to</w:t>
      </w:r>
      <w:r w:rsidR="006F79B7">
        <w:t xml:space="preserve"> Article 4.1.a, 4.1.b and 4.1.d</w:t>
      </w:r>
      <w:r w:rsidR="002809FA">
        <w:t xml:space="preserve"> of this policy</w:t>
      </w:r>
      <w:r w:rsidR="00055B35">
        <w:t>.</w:t>
      </w:r>
    </w:p>
    <w:p w14:paraId="07CE8C0B" w14:textId="0C7E3047" w:rsidR="005B66D4" w:rsidRPr="00681648" w:rsidRDefault="00055B35" w:rsidP="00055B35">
      <w:pPr>
        <w:pStyle w:val="ListParagraph"/>
        <w:numPr>
          <w:ilvl w:val="0"/>
          <w:numId w:val="34"/>
        </w:numPr>
      </w:pPr>
      <w:r>
        <w:t xml:space="preserve">Upon termination of access, </w:t>
      </w:r>
      <w:r w:rsidR="00D209D3">
        <w:t xml:space="preserve">the Resource Centres associated to the withdrawing </w:t>
      </w:r>
      <w:r w:rsidR="009245AE">
        <w:t>organisation</w:t>
      </w:r>
      <w:r w:rsidR="00D209D3">
        <w:t xml:space="preserve"> </w:t>
      </w:r>
      <w:r w:rsidR="006F79B7">
        <w:t>and participating in the EGI Infrastructure</w:t>
      </w:r>
      <w:r w:rsidR="009245AE">
        <w:t xml:space="preserve"> if any</w:t>
      </w:r>
      <w:r w:rsidR="006F79B7">
        <w:t xml:space="preserve">, </w:t>
      </w:r>
      <w:r w:rsidR="00D209D3">
        <w:t>shall</w:t>
      </w:r>
      <w:r w:rsidR="005B66D4" w:rsidRPr="005B66D4">
        <w:t xml:space="preserve"> be suspended and removed from the </w:t>
      </w:r>
      <w:r w:rsidR="00D209D3">
        <w:t>EGI</w:t>
      </w:r>
      <w:r w:rsidR="005B66D4" w:rsidRPr="005B66D4">
        <w:t xml:space="preserve"> </w:t>
      </w:r>
      <w:r w:rsidR="00D209D3">
        <w:t>I</w:t>
      </w:r>
      <w:r w:rsidR="005B66D4" w:rsidRPr="005B66D4">
        <w:t>nfrastructure</w:t>
      </w:r>
      <w:r w:rsidR="006F79B7">
        <w:t>.</w:t>
      </w:r>
    </w:p>
    <w:p w14:paraId="46D15D49" w14:textId="03D2F62A" w:rsidR="008E145B" w:rsidRDefault="001207D1" w:rsidP="008E145B">
      <w:pPr>
        <w:pStyle w:val="Heading1"/>
      </w:pPr>
      <w:r>
        <w:t xml:space="preserve">EGI Core </w:t>
      </w:r>
      <w:r w:rsidR="008E145B">
        <w:t>Funding</w:t>
      </w:r>
    </w:p>
    <w:p w14:paraId="429B9289" w14:textId="0F60439D" w:rsidR="00583D6B" w:rsidRDefault="00583D6B" w:rsidP="00583D6B">
      <w:pPr>
        <w:pStyle w:val="ListParagraph"/>
        <w:numPr>
          <w:ilvl w:val="0"/>
          <w:numId w:val="36"/>
        </w:numPr>
      </w:pPr>
      <w:r w:rsidRPr="00583D6B">
        <w:t xml:space="preserve">EGI Core Plan </w:t>
      </w:r>
      <w:r>
        <w:t>financial</w:t>
      </w:r>
      <w:r w:rsidRPr="00583D6B">
        <w:t xml:space="preserve"> </w:t>
      </w:r>
      <w:r>
        <w:t>contributions</w:t>
      </w:r>
      <w:r w:rsidRPr="00583D6B">
        <w:t xml:space="preserve"> shall be </w:t>
      </w:r>
      <w:r>
        <w:t>defined</w:t>
      </w:r>
      <w:r w:rsidRPr="00583D6B">
        <w:t xml:space="preserve"> annually upon deliberation of the Council</w:t>
      </w:r>
      <w:r>
        <w:t xml:space="preserve"> </w:t>
      </w:r>
      <w:r w:rsidRPr="00583D6B">
        <w:t>as part of the EGI Foundation Annual Budget proposal</w:t>
      </w:r>
      <w:r w:rsidR="009245AE">
        <w:t>,</w:t>
      </w:r>
      <w:r w:rsidRPr="00583D6B">
        <w:t xml:space="preserve"> to be</w:t>
      </w:r>
      <w:r>
        <w:t xml:space="preserve"> </w:t>
      </w:r>
      <w:r w:rsidRPr="00583D6B">
        <w:t>approved by the EGI Council</w:t>
      </w:r>
      <w:r>
        <w:t xml:space="preserve"> according to</w:t>
      </w:r>
      <w:r w:rsidRPr="00583D6B">
        <w:t xml:space="preserve"> Article 6.3</w:t>
      </w:r>
      <w:r>
        <w:t xml:space="preserve"> of the Statutes.</w:t>
      </w:r>
    </w:p>
    <w:p w14:paraId="5B2D0442" w14:textId="4B331787" w:rsidR="00BC42B4" w:rsidRDefault="00BC42B4" w:rsidP="00D209D3">
      <w:pPr>
        <w:pStyle w:val="ListParagraph"/>
        <w:numPr>
          <w:ilvl w:val="0"/>
          <w:numId w:val="36"/>
        </w:numPr>
      </w:pPr>
      <w:r>
        <w:t xml:space="preserve">The delivery and innovation of the EGI Core </w:t>
      </w:r>
      <w:r w:rsidR="00583D6B">
        <w:t>shall be</w:t>
      </w:r>
      <w:r>
        <w:t xml:space="preserve"> supported by </w:t>
      </w:r>
      <w:r w:rsidR="00A90CD1">
        <w:t>the</w:t>
      </w:r>
      <w:r>
        <w:t xml:space="preserve"> EGI Foundation and EGI Council Particip</w:t>
      </w:r>
      <w:r w:rsidR="00A90CD1">
        <w:t>ant</w:t>
      </w:r>
      <w:r>
        <w:t>s</w:t>
      </w:r>
      <w:r w:rsidR="00A90CD1">
        <w:t xml:space="preserve"> through</w:t>
      </w:r>
      <w:r>
        <w:t>:</w:t>
      </w:r>
    </w:p>
    <w:p w14:paraId="132F409A" w14:textId="6C6A3665" w:rsidR="00A90CD1" w:rsidRDefault="00A90CD1" w:rsidP="00BC42B4">
      <w:pPr>
        <w:pStyle w:val="ListParagraph"/>
        <w:numPr>
          <w:ilvl w:val="1"/>
          <w:numId w:val="36"/>
        </w:numPr>
      </w:pPr>
      <w:r>
        <w:t>F</w:t>
      </w:r>
      <w:r w:rsidRPr="00A90CD1">
        <w:t>inancial contributions</w:t>
      </w:r>
      <w:r w:rsidR="00980BA0">
        <w:t xml:space="preserve"> to the EGI Foundation</w:t>
      </w:r>
      <w:r w:rsidRPr="00A90CD1">
        <w:t xml:space="preserve"> paid by the Participants and Associated Participants</w:t>
      </w:r>
      <w:r w:rsidR="00980BA0">
        <w:t xml:space="preserve"> annually</w:t>
      </w:r>
      <w:r w:rsidRPr="00A90CD1">
        <w:t xml:space="preserve"> </w:t>
      </w:r>
      <w:r w:rsidR="00583D6B">
        <w:t xml:space="preserve">according to </w:t>
      </w:r>
      <w:r>
        <w:t>Article 4.1 of the EGI Foundation Statutes.</w:t>
      </w:r>
    </w:p>
    <w:p w14:paraId="714A46F1" w14:textId="55A74705" w:rsidR="00BC42B4" w:rsidRDefault="00A90CD1" w:rsidP="00BC42B4">
      <w:pPr>
        <w:pStyle w:val="ListParagraph"/>
        <w:numPr>
          <w:ilvl w:val="1"/>
          <w:numId w:val="36"/>
        </w:numPr>
      </w:pPr>
      <w:r>
        <w:t>Financial contributions to EGI Foundation and EGI Participants from g</w:t>
      </w:r>
      <w:r w:rsidR="00BC42B4">
        <w:t>rants and contracts</w:t>
      </w:r>
      <w:r>
        <w:t>.</w:t>
      </w:r>
    </w:p>
    <w:p w14:paraId="26C1BAB7" w14:textId="320FCEA4" w:rsidR="00A90CD1" w:rsidRDefault="00A90CD1" w:rsidP="00A90CD1">
      <w:pPr>
        <w:pStyle w:val="ListParagraph"/>
        <w:numPr>
          <w:ilvl w:val="1"/>
          <w:numId w:val="36"/>
        </w:numPr>
      </w:pPr>
      <w:r>
        <w:t xml:space="preserve">EGI Foundation capital. </w:t>
      </w:r>
    </w:p>
    <w:p w14:paraId="45B1CDA4" w14:textId="3E403836" w:rsidR="00BC42B4" w:rsidRDefault="00BC42B4" w:rsidP="00BC42B4">
      <w:pPr>
        <w:pStyle w:val="ListParagraph"/>
        <w:numPr>
          <w:ilvl w:val="1"/>
          <w:numId w:val="36"/>
        </w:numPr>
      </w:pPr>
      <w:r>
        <w:t xml:space="preserve">In-kind </w:t>
      </w:r>
      <w:r w:rsidR="00A90CD1">
        <w:t xml:space="preserve">financial </w:t>
      </w:r>
      <w:r>
        <w:t>contributions from Suppliers</w:t>
      </w:r>
      <w:r w:rsidR="00A90CD1">
        <w:t xml:space="preserve"> participating </w:t>
      </w:r>
      <w:r w:rsidR="00980BA0">
        <w:t>in</w:t>
      </w:r>
      <w:r w:rsidR="00A90CD1">
        <w:t xml:space="preserve"> the delivery of </w:t>
      </w:r>
      <w:r w:rsidR="00980BA0">
        <w:t>a</w:t>
      </w:r>
      <w:r w:rsidR="00A90CD1">
        <w:t xml:space="preserve"> EGI Core</w:t>
      </w:r>
      <w:r w:rsidR="00980BA0">
        <w:t xml:space="preserve"> Component</w:t>
      </w:r>
      <w:r w:rsidR="00A90CD1">
        <w:t>.</w:t>
      </w:r>
    </w:p>
    <w:p w14:paraId="2D3BDB8F" w14:textId="02499CBD" w:rsidR="00A90CD1" w:rsidRDefault="00A90CD1" w:rsidP="00BC42B4">
      <w:pPr>
        <w:pStyle w:val="ListParagraph"/>
        <w:numPr>
          <w:ilvl w:val="1"/>
          <w:numId w:val="36"/>
        </w:numPr>
      </w:pPr>
      <w:r>
        <w:t>Approved access fees from entities not participating in the EGI Foundation.</w:t>
      </w:r>
    </w:p>
    <w:p w14:paraId="52B5CC4A" w14:textId="60B8A813" w:rsidR="00BC42B4" w:rsidRDefault="00A90CD1" w:rsidP="00BC42B4">
      <w:pPr>
        <w:pStyle w:val="ListParagraph"/>
        <w:numPr>
          <w:ilvl w:val="1"/>
          <w:numId w:val="36"/>
        </w:numPr>
      </w:pPr>
      <w:r>
        <w:t>O</w:t>
      </w:r>
      <w:r w:rsidR="00BC42B4">
        <w:t>ther funding sources</w:t>
      </w:r>
      <w:r>
        <w:t xml:space="preserve"> decided by the EGI Council annually.</w:t>
      </w:r>
      <w:r w:rsidR="00BC42B4">
        <w:t xml:space="preserve">  </w:t>
      </w:r>
    </w:p>
    <w:p w14:paraId="2E76D32B" w14:textId="1F8FEF51" w:rsidR="00980BA0" w:rsidRDefault="00980BA0" w:rsidP="00D209D3">
      <w:pPr>
        <w:pStyle w:val="ListParagraph"/>
        <w:numPr>
          <w:ilvl w:val="0"/>
          <w:numId w:val="36"/>
        </w:numPr>
      </w:pPr>
      <w:r w:rsidRPr="00BC42B4">
        <w:t xml:space="preserve">Payments </w:t>
      </w:r>
      <w:r w:rsidRPr="00980BA0">
        <w:t>by the EGI Foundation are not</w:t>
      </w:r>
      <w:r w:rsidRPr="00BC42B4">
        <w:t xml:space="preserve"> subject to Dutch </w:t>
      </w:r>
      <w:r w:rsidRPr="00980BA0">
        <w:t>V</w:t>
      </w:r>
      <w:r w:rsidRPr="00BC42B4">
        <w:t xml:space="preserve">alue </w:t>
      </w:r>
      <w:r w:rsidRPr="00980BA0">
        <w:t>A</w:t>
      </w:r>
      <w:r w:rsidRPr="00BC42B4">
        <w:t xml:space="preserve">dded </w:t>
      </w:r>
      <w:r w:rsidRPr="00980BA0">
        <w:t>T</w:t>
      </w:r>
      <w:r w:rsidRPr="00BC42B4">
        <w:t>ax in conformance with the Dutch tax authority ruling granted to EGI Foundation in 2016.</w:t>
      </w:r>
    </w:p>
    <w:p w14:paraId="4FEE3B54" w14:textId="702505F5" w:rsidR="00BC42B4" w:rsidRDefault="00493659" w:rsidP="00D209D3">
      <w:pPr>
        <w:pStyle w:val="ListParagraph"/>
        <w:numPr>
          <w:ilvl w:val="0"/>
          <w:numId w:val="36"/>
        </w:numPr>
      </w:pPr>
      <w:r>
        <w:t xml:space="preserve">The Council shall deliberate annually on the appropriation of financial resources to </w:t>
      </w:r>
      <w:r w:rsidR="00A90CD1">
        <w:t xml:space="preserve">guarantee </w:t>
      </w:r>
      <w:r w:rsidR="00583D6B">
        <w:t>continual</w:t>
      </w:r>
      <w:r w:rsidR="00A90CD1">
        <w:t xml:space="preserve"> funding to the EGI Core.</w:t>
      </w:r>
    </w:p>
    <w:p w14:paraId="2D699E8D" w14:textId="24071104" w:rsidR="005C435E" w:rsidRPr="005C435E" w:rsidRDefault="005C435E" w:rsidP="005C435E">
      <w:pPr>
        <w:pStyle w:val="ListParagraph"/>
        <w:numPr>
          <w:ilvl w:val="0"/>
          <w:numId w:val="36"/>
        </w:numPr>
      </w:pPr>
      <w:r w:rsidRPr="005C435E">
        <w:t>The EGI Foundation will make payments to the Suppliers according to the following schedule:</w:t>
      </w:r>
    </w:p>
    <w:p w14:paraId="47F44736" w14:textId="57628E80" w:rsidR="005C435E" w:rsidRPr="005C435E" w:rsidRDefault="00FD23F0" w:rsidP="005C435E">
      <w:pPr>
        <w:pStyle w:val="ListParagraph"/>
        <w:numPr>
          <w:ilvl w:val="1"/>
          <w:numId w:val="36"/>
        </w:numPr>
      </w:pPr>
      <w:r>
        <w:t xml:space="preserve">Initial payment: </w:t>
      </w:r>
      <w:r w:rsidR="005C435E" w:rsidRPr="005C435E">
        <w:t>40% of the annual total amount due upon signature of the Agreement.</w:t>
      </w:r>
    </w:p>
    <w:p w14:paraId="23E543E0" w14:textId="1B286B69" w:rsidR="005C435E" w:rsidRDefault="00FD23F0" w:rsidP="005C435E">
      <w:pPr>
        <w:pStyle w:val="ListParagraph"/>
        <w:numPr>
          <w:ilvl w:val="1"/>
          <w:numId w:val="36"/>
        </w:numPr>
      </w:pPr>
      <w:r>
        <w:t xml:space="preserve">Final payment: </w:t>
      </w:r>
      <w:r w:rsidR="005C435E" w:rsidRPr="005C435E">
        <w:t xml:space="preserve">60% of the total amount due, subject to approval of the </w:t>
      </w:r>
      <w:r w:rsidR="00CF47A2">
        <w:t xml:space="preserve">EGI Core Component </w:t>
      </w:r>
      <w:r w:rsidR="005C435E" w:rsidRPr="005C435E">
        <w:t>report by the EGI Executive Board</w:t>
      </w:r>
      <w:r w:rsidR="0095153E">
        <w:t xml:space="preserve"> according to Article 6</w:t>
      </w:r>
      <w:r w:rsidR="005C435E" w:rsidRPr="005C435E">
        <w:t xml:space="preserve">. </w:t>
      </w:r>
      <w:r w:rsidR="00913074">
        <w:t>The final p</w:t>
      </w:r>
      <w:r w:rsidR="00913074" w:rsidRPr="00913074">
        <w:t xml:space="preserve">ayment shall be made to </w:t>
      </w:r>
      <w:r w:rsidR="00913074">
        <w:t>the Supplier</w:t>
      </w:r>
      <w:r w:rsidR="00913074" w:rsidRPr="00913074">
        <w:t xml:space="preserve"> within 30 days of acceptance of costs.</w:t>
      </w:r>
    </w:p>
    <w:p w14:paraId="4B545C2E" w14:textId="42E79FE5" w:rsidR="00BC42B4" w:rsidRPr="00BC42B4" w:rsidRDefault="00BC42B4" w:rsidP="00BC42B4">
      <w:pPr>
        <w:pStyle w:val="ListParagraph"/>
        <w:numPr>
          <w:ilvl w:val="0"/>
          <w:numId w:val="36"/>
        </w:numPr>
      </w:pPr>
      <w:r w:rsidRPr="00BC42B4">
        <w:t>Pre-financing shall be reclaimed</w:t>
      </w:r>
      <w:r w:rsidR="00D3061E">
        <w:t xml:space="preserve"> and returned to the EGI Foundation</w:t>
      </w:r>
      <w:r w:rsidRPr="00BC42B4">
        <w:t>, or payments shall be suspended in case of:</w:t>
      </w:r>
    </w:p>
    <w:p w14:paraId="6ACE24A9" w14:textId="78AD567C" w:rsidR="00D3061E" w:rsidRDefault="00D3061E" w:rsidP="00D3061E">
      <w:pPr>
        <w:pStyle w:val="ListParagraph"/>
        <w:numPr>
          <w:ilvl w:val="1"/>
          <w:numId w:val="36"/>
        </w:numPr>
      </w:pPr>
      <w:r>
        <w:t>Termination of the Supplier’s participation in the EGI Foundation after its appointment according to Article 4</w:t>
      </w:r>
      <w:r w:rsidR="0095153E">
        <w:t>,</w:t>
      </w:r>
      <w:r>
        <w:t xml:space="preserve"> and before the start of </w:t>
      </w:r>
      <w:r w:rsidR="001A5E8F">
        <w:t>the EGI Core Component performance</w:t>
      </w:r>
      <w:r>
        <w:t>.</w:t>
      </w:r>
    </w:p>
    <w:p w14:paraId="612DDE7E" w14:textId="7B01A022" w:rsidR="0095153E" w:rsidRDefault="0095153E" w:rsidP="00D3061E">
      <w:pPr>
        <w:pStyle w:val="ListParagraph"/>
        <w:numPr>
          <w:ilvl w:val="1"/>
          <w:numId w:val="36"/>
        </w:numPr>
      </w:pPr>
      <w:r>
        <w:t>Termination of the Agreement according to Article 10.</w:t>
      </w:r>
    </w:p>
    <w:p w14:paraId="7E613B55" w14:textId="08693E2D" w:rsidR="00BC42B4" w:rsidRDefault="00BC42B4" w:rsidP="00D3061E">
      <w:pPr>
        <w:pStyle w:val="ListParagraph"/>
        <w:numPr>
          <w:ilvl w:val="1"/>
          <w:numId w:val="36"/>
        </w:numPr>
      </w:pPr>
      <w:r w:rsidRPr="00BC42B4">
        <w:lastRenderedPageBreak/>
        <w:t xml:space="preserve">Unjustified or major violation of the </w:t>
      </w:r>
      <w:r w:rsidR="00D3061E">
        <w:t>EGI Core Component’s</w:t>
      </w:r>
      <w:r w:rsidRPr="00BC42B4">
        <w:t xml:space="preserve"> </w:t>
      </w:r>
      <w:r w:rsidR="00D3061E">
        <w:t xml:space="preserve">agreed </w:t>
      </w:r>
      <w:r w:rsidRPr="00BC42B4">
        <w:t xml:space="preserve">provisioning terms </w:t>
      </w:r>
      <w:r w:rsidR="00D3061E">
        <w:t xml:space="preserve">as </w:t>
      </w:r>
      <w:r w:rsidRPr="00BC42B4">
        <w:t xml:space="preserve">defined </w:t>
      </w:r>
      <w:r w:rsidR="00D3061E">
        <w:t>in the Agreement.</w:t>
      </w:r>
    </w:p>
    <w:p w14:paraId="13A5AAFB" w14:textId="05981F8F" w:rsidR="00D3061E" w:rsidRPr="00BC42B4" w:rsidRDefault="00D3061E" w:rsidP="00D3061E">
      <w:pPr>
        <w:pStyle w:val="ListParagraph"/>
        <w:numPr>
          <w:ilvl w:val="1"/>
          <w:numId w:val="36"/>
        </w:numPr>
      </w:pPr>
      <w:r>
        <w:t xml:space="preserve">The </w:t>
      </w:r>
      <w:r w:rsidRPr="00D3061E">
        <w:t>Supplier’s annual financial contribution to the EGI Foundation is</w:t>
      </w:r>
      <w:r w:rsidR="0095153E">
        <w:t xml:space="preserve"> 6 months</w:t>
      </w:r>
      <w:r w:rsidRPr="00D3061E">
        <w:t xml:space="preserve"> overdue.</w:t>
      </w:r>
    </w:p>
    <w:p w14:paraId="732E17EC" w14:textId="0FC258B9" w:rsidR="00BC42B4" w:rsidRPr="00AD3D48" w:rsidRDefault="00D3061E" w:rsidP="00D3061E">
      <w:pPr>
        <w:pStyle w:val="ListParagraph"/>
        <w:numPr>
          <w:ilvl w:val="1"/>
          <w:numId w:val="36"/>
        </w:numPr>
      </w:pPr>
      <w:r>
        <w:t xml:space="preserve">The Supplier’s </w:t>
      </w:r>
      <w:r w:rsidR="00BC42B4" w:rsidRPr="00BC42B4">
        <w:t xml:space="preserve">Inability to propose a plan to mitigate and correct </w:t>
      </w:r>
      <w:r>
        <w:t xml:space="preserve">no performance or </w:t>
      </w:r>
      <w:r w:rsidR="00BC42B4" w:rsidRPr="00BC42B4">
        <w:t>underperformance within the set timeline</w:t>
      </w:r>
      <w:r w:rsidR="00AD3D48" w:rsidRPr="00AD3D48">
        <w:t xml:space="preserve"> defined in Article 6.</w:t>
      </w:r>
      <w:r w:rsidR="00BC42B4" w:rsidRPr="00BC42B4">
        <w:t xml:space="preserve"> </w:t>
      </w:r>
    </w:p>
    <w:p w14:paraId="0ED5D248" w14:textId="28A57187" w:rsidR="00FD23F0" w:rsidRPr="00BC42B4" w:rsidRDefault="00FD23F0" w:rsidP="00FD23F0">
      <w:pPr>
        <w:pStyle w:val="ListParagraph"/>
        <w:numPr>
          <w:ilvl w:val="0"/>
          <w:numId w:val="36"/>
        </w:numPr>
      </w:pPr>
      <w:r>
        <w:t>In case funding</w:t>
      </w:r>
      <w:r w:rsidR="0095153E">
        <w:t xml:space="preserve"> of a Component</w:t>
      </w:r>
      <w:r>
        <w:t xml:space="preserve"> includes co-financing received from a granting authority or contracting authority</w:t>
      </w:r>
      <w:r w:rsidRPr="00FD23F0">
        <w:t xml:space="preserve">, the final payment </w:t>
      </w:r>
      <w:r w:rsidR="0095153E">
        <w:t>may</w:t>
      </w:r>
      <w:r w:rsidRPr="00FD23F0">
        <w:t xml:space="preserve"> be </w:t>
      </w:r>
      <w:r w:rsidR="0095153E">
        <w:t>reduced or increased upon deliberation of the Council</w:t>
      </w:r>
      <w:r w:rsidRPr="00FD23F0">
        <w:t xml:space="preserve"> considering the total eligible costs approved </w:t>
      </w:r>
      <w:r>
        <w:t>by</w:t>
      </w:r>
      <w:r w:rsidRPr="00FD23F0">
        <w:t xml:space="preserve"> the </w:t>
      </w:r>
      <w:r>
        <w:t xml:space="preserve">granting authority or the contracting </w:t>
      </w:r>
      <w:r w:rsidR="0039154D">
        <w:t>authority</w:t>
      </w:r>
      <w:r w:rsidRPr="00FD23F0">
        <w:t>.</w:t>
      </w:r>
    </w:p>
    <w:p w14:paraId="600BBD1B" w14:textId="5EBE217A" w:rsidR="00DD7EC1" w:rsidRDefault="00CF47A2" w:rsidP="00DB165B">
      <w:pPr>
        <w:pStyle w:val="Heading1"/>
      </w:pPr>
      <w:r>
        <w:t xml:space="preserve">Performance and </w:t>
      </w:r>
      <w:r w:rsidR="00BC42B4">
        <w:t>Reporting</w:t>
      </w:r>
    </w:p>
    <w:p w14:paraId="7507BA15" w14:textId="156BE4DF" w:rsidR="00CF47A2" w:rsidRDefault="00CF47A2" w:rsidP="00AD3D48">
      <w:pPr>
        <w:pStyle w:val="ListParagraph"/>
        <w:numPr>
          <w:ilvl w:val="0"/>
          <w:numId w:val="20"/>
        </w:numPr>
      </w:pPr>
      <w:r>
        <w:t>The performance of the EGI Core Component shall start on</w:t>
      </w:r>
      <w:r w:rsidR="0095153E">
        <w:t xml:space="preserve"> January</w:t>
      </w:r>
      <w:r>
        <w:t xml:space="preserve"> 01 and conclude </w:t>
      </w:r>
      <w:r w:rsidR="00A67862">
        <w:t xml:space="preserve">on </w:t>
      </w:r>
      <w:r w:rsidR="0095153E">
        <w:t>December</w:t>
      </w:r>
      <w:r>
        <w:t xml:space="preserve"> </w:t>
      </w:r>
      <w:r w:rsidR="00A67862">
        <w:t xml:space="preserve">31 of each calendar year </w:t>
      </w:r>
      <w:r>
        <w:t>unless otherwise specified in the Agreement.</w:t>
      </w:r>
    </w:p>
    <w:p w14:paraId="2664DA9B" w14:textId="12229F23" w:rsidR="00AD3D48" w:rsidRDefault="00AD3D48" w:rsidP="00AD3D48">
      <w:pPr>
        <w:pStyle w:val="ListParagraph"/>
        <w:numPr>
          <w:ilvl w:val="0"/>
          <w:numId w:val="20"/>
        </w:numPr>
      </w:pPr>
      <w:r>
        <w:t>The Supplier</w:t>
      </w:r>
      <w:r w:rsidRPr="00AD3D48">
        <w:t xml:space="preserve"> shall </w:t>
      </w:r>
      <w:r w:rsidR="00E45493">
        <w:t>provide a performance and financial report</w:t>
      </w:r>
      <w:r w:rsidRPr="00AD3D48">
        <w:t xml:space="preserve"> on </w:t>
      </w:r>
      <w:r>
        <w:t xml:space="preserve">the attributed EGI Core Components </w:t>
      </w:r>
      <w:r w:rsidR="00E45493">
        <w:t>with a six-month frequency according to the following schedule</w:t>
      </w:r>
      <w:r>
        <w:t>:</w:t>
      </w:r>
    </w:p>
    <w:p w14:paraId="6FFE4FD1" w14:textId="0E1E8DA8" w:rsidR="00E45493" w:rsidRDefault="00E45493" w:rsidP="00E45493">
      <w:pPr>
        <w:pStyle w:val="ListParagraph"/>
        <w:numPr>
          <w:ilvl w:val="1"/>
          <w:numId w:val="20"/>
        </w:numPr>
      </w:pPr>
      <w:r>
        <w:t xml:space="preserve">First </w:t>
      </w:r>
      <w:r w:rsidR="00CF47A2">
        <w:t>report</w:t>
      </w:r>
      <w:r>
        <w:t>:</w:t>
      </w:r>
      <w:r w:rsidR="00CF47A2">
        <w:t xml:space="preserve"> expected by </w:t>
      </w:r>
      <w:r w:rsidRPr="00752F68">
        <w:rPr>
          <w:b/>
          <w:bCs/>
        </w:rPr>
        <w:t>July</w:t>
      </w:r>
      <w:r w:rsidR="002A1002" w:rsidRPr="00752F68">
        <w:rPr>
          <w:b/>
          <w:bCs/>
        </w:rPr>
        <w:t xml:space="preserve"> 3</w:t>
      </w:r>
      <w:r w:rsidR="002A1002">
        <w:t>1</w:t>
      </w:r>
      <w:r w:rsidR="00A67862">
        <w:t xml:space="preserve"> </w:t>
      </w:r>
    </w:p>
    <w:p w14:paraId="118CB602" w14:textId="46ECC7C0" w:rsidR="00AD3D48" w:rsidRPr="00AD3D48" w:rsidRDefault="00E45493" w:rsidP="00AD3D48">
      <w:pPr>
        <w:pStyle w:val="ListParagraph"/>
        <w:numPr>
          <w:ilvl w:val="1"/>
          <w:numId w:val="20"/>
        </w:numPr>
      </w:pPr>
      <w:r>
        <w:t>Second report expected by</w:t>
      </w:r>
      <w:r w:rsidR="00CF47A2">
        <w:t xml:space="preserve"> </w:t>
      </w:r>
      <w:r>
        <w:t>Jan</w:t>
      </w:r>
      <w:r w:rsidR="00CF47A2">
        <w:t xml:space="preserve"> 31</w:t>
      </w:r>
      <w:r>
        <w:t>.</w:t>
      </w:r>
    </w:p>
    <w:p w14:paraId="2CD2AF50" w14:textId="13D5AADB" w:rsidR="00DD7EC1" w:rsidRPr="002A1002" w:rsidRDefault="00AD3D48" w:rsidP="00E11821">
      <w:pPr>
        <w:pStyle w:val="ListParagraph"/>
        <w:numPr>
          <w:ilvl w:val="0"/>
          <w:numId w:val="20"/>
        </w:numPr>
        <w:spacing w:after="200"/>
        <w:rPr>
          <w:lang w:val="en-US"/>
        </w:rPr>
      </w:pPr>
      <w:r w:rsidRPr="00AD3D48">
        <w:t xml:space="preserve">Performance shall be reported against service level targets defined </w:t>
      </w:r>
      <w:r>
        <w:t>in the Service Performance Agreement.</w:t>
      </w:r>
      <w:r w:rsidR="00954697">
        <w:t xml:space="preserve"> </w:t>
      </w:r>
    </w:p>
    <w:p w14:paraId="44F0E2AE" w14:textId="68350566" w:rsidR="002A1002" w:rsidRPr="00AD3D48" w:rsidRDefault="002A1002" w:rsidP="00E11821">
      <w:pPr>
        <w:pStyle w:val="ListParagraph"/>
        <w:numPr>
          <w:ilvl w:val="0"/>
          <w:numId w:val="20"/>
        </w:numPr>
        <w:spacing w:after="200"/>
        <w:rPr>
          <w:lang w:val="en-US"/>
        </w:rPr>
      </w:pPr>
      <w:r w:rsidRPr="002A1002">
        <w:t>Reports shall be reviewed and approved by the Executive Board as set in Article 2, who is responsible for validating the compliance of Supplier’s performance to the terms set in the Agreement.</w:t>
      </w:r>
    </w:p>
    <w:p w14:paraId="49E20602" w14:textId="728AF51F" w:rsidR="00AD3D48" w:rsidRPr="00AD3D48" w:rsidRDefault="00AD3D48" w:rsidP="00AD3D48">
      <w:pPr>
        <w:pStyle w:val="ListParagraph"/>
        <w:numPr>
          <w:ilvl w:val="0"/>
          <w:numId w:val="20"/>
        </w:numPr>
      </w:pPr>
      <w:r w:rsidRPr="00AD3D48">
        <w:t xml:space="preserve">If the EGI Foundation identifies an instance where </w:t>
      </w:r>
      <w:r>
        <w:t>the Supplier</w:t>
      </w:r>
      <w:r w:rsidRPr="00AD3D48">
        <w:t xml:space="preserve"> has not met the agreed service level targets, the EGI Foundation will notify </w:t>
      </w:r>
      <w:r>
        <w:t>the Supplier</w:t>
      </w:r>
      <w:r w:rsidRPr="00AD3D48">
        <w:t xml:space="preserve"> in writing as soon as reasonably practicable.  Within 3 months from the date </w:t>
      </w:r>
      <w:r>
        <w:t>the Supplier</w:t>
      </w:r>
      <w:r w:rsidRPr="00AD3D48">
        <w:t xml:space="preserve"> receives such notification, </w:t>
      </w:r>
      <w:r>
        <w:t>the Supplier</w:t>
      </w:r>
      <w:r w:rsidRPr="00AD3D48">
        <w:t xml:space="preserve"> shall propose a plan to mitigate the impact of </w:t>
      </w:r>
      <w:r>
        <w:t xml:space="preserve">no performance or </w:t>
      </w:r>
      <w:r w:rsidRPr="00AD3D48">
        <w:t>underperformance and align the performance delivered according to agreed expectations</w:t>
      </w:r>
      <w:r>
        <w:t xml:space="preserve"> set in the Agreement</w:t>
      </w:r>
      <w:r w:rsidRPr="00AD3D48">
        <w:t>. </w:t>
      </w:r>
    </w:p>
    <w:p w14:paraId="6D91B676" w14:textId="0F71FA45" w:rsidR="002A1002" w:rsidRPr="00954697" w:rsidRDefault="00AD3D48" w:rsidP="00954697">
      <w:pPr>
        <w:pStyle w:val="ListParagraph"/>
        <w:numPr>
          <w:ilvl w:val="0"/>
          <w:numId w:val="20"/>
        </w:numPr>
      </w:pPr>
      <w:r w:rsidRPr="00AD3D48">
        <w:t xml:space="preserve">In case of </w:t>
      </w:r>
      <w:r>
        <w:t xml:space="preserve">no performance or </w:t>
      </w:r>
      <w:r w:rsidRPr="00AD3D48">
        <w:t xml:space="preserve">underperformance payments </w:t>
      </w:r>
      <w:r w:rsidR="00CF47A2">
        <w:t>shall</w:t>
      </w:r>
      <w:r w:rsidRPr="00AD3D48">
        <w:t xml:space="preserve"> be retained according to the</w:t>
      </w:r>
      <w:r w:rsidR="002A1002">
        <w:t xml:space="preserve"> </w:t>
      </w:r>
      <w:r w:rsidRPr="00AD3D48">
        <w:t xml:space="preserve">conditions set in Article </w:t>
      </w:r>
      <w:r>
        <w:t>5</w:t>
      </w:r>
      <w:r w:rsidRPr="00AD3D48">
        <w:t>.</w:t>
      </w:r>
    </w:p>
    <w:p w14:paraId="7277A2DF" w14:textId="0FA7FAB2" w:rsidR="00954697" w:rsidRDefault="00954697" w:rsidP="0039154D">
      <w:pPr>
        <w:pStyle w:val="Heading1"/>
      </w:pPr>
      <w:r>
        <w:t>Liability</w:t>
      </w:r>
    </w:p>
    <w:p w14:paraId="0C07F77C" w14:textId="5B2E818C" w:rsidR="00954697" w:rsidRPr="00954697" w:rsidRDefault="00954697" w:rsidP="00954697">
      <w:pPr>
        <w:pStyle w:val="ListParagraph"/>
        <w:numPr>
          <w:ilvl w:val="0"/>
          <w:numId w:val="38"/>
        </w:numPr>
      </w:pPr>
      <w:r w:rsidRPr="00954697">
        <w:t xml:space="preserve">The maximum aggregate liability of </w:t>
      </w:r>
      <w:r>
        <w:t xml:space="preserve">each party in the Agreement </w:t>
      </w:r>
      <w:r w:rsidRPr="00954697">
        <w:t xml:space="preserve">under or in relation to </w:t>
      </w:r>
      <w:r>
        <w:t>the</w:t>
      </w:r>
      <w:r w:rsidRPr="00954697">
        <w:t xml:space="preserve"> Agreement or its subject matter shall not exceed </w:t>
      </w:r>
      <w:r>
        <w:t>the</w:t>
      </w:r>
      <w:r w:rsidRPr="00954697">
        <w:t xml:space="preserve"> </w:t>
      </w:r>
      <w:r>
        <w:t xml:space="preserve">total amount of funding due by the EGI Foundation to the Supplier. </w:t>
      </w:r>
      <w:r w:rsidRPr="00954697">
        <w:t xml:space="preserve">The liability of </w:t>
      </w:r>
      <w:r>
        <w:t>the Supplier</w:t>
      </w:r>
      <w:r w:rsidRPr="00954697">
        <w:t xml:space="preserve"> for any breach of </w:t>
      </w:r>
      <w:r>
        <w:t>the</w:t>
      </w:r>
      <w:r w:rsidRPr="00954697">
        <w:t xml:space="preserve"> Agreement or arising in any other way out of the subject matter of </w:t>
      </w:r>
      <w:r>
        <w:t>the</w:t>
      </w:r>
      <w:r w:rsidRPr="00954697">
        <w:t xml:space="preserve"> Agreement will not extend to any indirect or consequential damages or losses. Nothing in </w:t>
      </w:r>
      <w:r>
        <w:t>the</w:t>
      </w:r>
      <w:r w:rsidRPr="00954697">
        <w:t xml:space="preserve"> Agreement </w:t>
      </w:r>
      <w:r>
        <w:t>shall limit</w:t>
      </w:r>
      <w:r w:rsidRPr="00954697">
        <w:t xml:space="preserve"> or exclude </w:t>
      </w:r>
      <w:r w:rsidRPr="00954697">
        <w:lastRenderedPageBreak/>
        <w:t>liability for death or personal injury resulting from negligence; or any fraud or for any sort of other liability which, by law, cannot be limited or excluded.</w:t>
      </w:r>
    </w:p>
    <w:p w14:paraId="26B90DDF" w14:textId="12DDCF7A" w:rsidR="00954697" w:rsidRPr="00954697" w:rsidRDefault="00954697" w:rsidP="00954697">
      <w:pPr>
        <w:pStyle w:val="ListParagraph"/>
        <w:numPr>
          <w:ilvl w:val="0"/>
          <w:numId w:val="38"/>
        </w:numPr>
      </w:pPr>
      <w:r w:rsidRPr="00954697">
        <w:t xml:space="preserve">No </w:t>
      </w:r>
      <w:r>
        <w:t>party in the Agreement</w:t>
      </w:r>
      <w:r w:rsidRPr="00954697">
        <w:t xml:space="preserve"> will be liable for any delay in performing or failure to perform its obligations (except an obligation to pay) caused by circumstances beyond its control including without limitation, war, riot, terrorist attack, natural disaster, labour dispute, pandemic, epidemic or any law or any action taken by a government or public authority. In those circumstances the </w:t>
      </w:r>
      <w:r w:rsidR="009F6714">
        <w:t>party in the Agreement</w:t>
      </w:r>
      <w:r w:rsidRPr="00954697">
        <w:t xml:space="preserve"> will be granted a reasonable extension of time for the performance of its obligations.</w:t>
      </w:r>
      <w:r w:rsidR="009F6714">
        <w:t xml:space="preserve"> </w:t>
      </w:r>
    </w:p>
    <w:p w14:paraId="149FF7A4" w14:textId="74247A17" w:rsidR="009F6714" w:rsidRDefault="009F6714" w:rsidP="0039154D">
      <w:pPr>
        <w:pStyle w:val="Heading1"/>
      </w:pPr>
      <w:r>
        <w:t>Intellectual Property</w:t>
      </w:r>
    </w:p>
    <w:p w14:paraId="0333E7DB" w14:textId="57C26E84" w:rsidR="009F6714" w:rsidRDefault="009F6714" w:rsidP="009F6714">
      <w:pPr>
        <w:pStyle w:val="ListParagraph"/>
        <w:numPr>
          <w:ilvl w:val="0"/>
          <w:numId w:val="39"/>
        </w:numPr>
      </w:pPr>
      <w:r w:rsidRPr="009F6714">
        <w:t xml:space="preserve">Background held by the </w:t>
      </w:r>
      <w:r>
        <w:t>parties in the Agreement</w:t>
      </w:r>
      <w:r w:rsidRPr="009F6714">
        <w:t xml:space="preserve"> before they accede to </w:t>
      </w:r>
      <w:r>
        <w:t>the</w:t>
      </w:r>
      <w:r w:rsidRPr="009F6714">
        <w:t xml:space="preserve"> Agreement is owned by the contributing </w:t>
      </w:r>
      <w:r>
        <w:t>p</w:t>
      </w:r>
      <w:r w:rsidRPr="009F6714">
        <w:t>arty.</w:t>
      </w:r>
    </w:p>
    <w:p w14:paraId="3B29F0D6" w14:textId="6D0E5C98" w:rsidR="009F6714" w:rsidRDefault="009F6714" w:rsidP="009F6714">
      <w:pPr>
        <w:pStyle w:val="ListParagraph"/>
        <w:numPr>
          <w:ilvl w:val="0"/>
          <w:numId w:val="39"/>
        </w:numPr>
      </w:pPr>
      <w:r w:rsidRPr="009F6714">
        <w:t xml:space="preserve">In order to comply with the open access policy and maximise possibility for reuse of Results, software code, tools and interfaces developed in the scope of </w:t>
      </w:r>
      <w:r>
        <w:t>the</w:t>
      </w:r>
      <w:r w:rsidRPr="009F6714">
        <w:t xml:space="preserve"> Agreement will be published under a OSI compliant licence</w:t>
      </w:r>
      <w:r>
        <w:t>.</w:t>
      </w:r>
    </w:p>
    <w:p w14:paraId="09B34817" w14:textId="2DE34027" w:rsidR="009F6714" w:rsidRDefault="009F6714" w:rsidP="009F6714">
      <w:pPr>
        <w:pStyle w:val="ListParagraph"/>
        <w:numPr>
          <w:ilvl w:val="0"/>
          <w:numId w:val="39"/>
        </w:numPr>
      </w:pPr>
      <w:r w:rsidRPr="009F6714">
        <w:t xml:space="preserve">Results generated in the scope of this Agreement are jointly owned by the </w:t>
      </w:r>
      <w:r>
        <w:t>EGI Foundation and the Supplier</w:t>
      </w:r>
      <w:r w:rsidRPr="009F6714">
        <w:t xml:space="preserve"> with equal ownership percentage unless differently specified</w:t>
      </w:r>
      <w:r>
        <w:t>.</w:t>
      </w:r>
    </w:p>
    <w:p w14:paraId="3FFA8190" w14:textId="6458AC3E" w:rsidR="009F6714" w:rsidRPr="009F6714" w:rsidRDefault="009F6714" w:rsidP="009F6714">
      <w:pPr>
        <w:pStyle w:val="ListParagraph"/>
        <w:numPr>
          <w:ilvl w:val="0"/>
          <w:numId w:val="39"/>
        </w:numPr>
      </w:pPr>
      <w:r w:rsidRPr="009F6714">
        <w:t xml:space="preserve">The exploitation of the Results of </w:t>
      </w:r>
      <w:r>
        <w:t>the</w:t>
      </w:r>
      <w:r w:rsidRPr="009F6714">
        <w:t xml:space="preserve"> Agreement is limited to the scope of the EGI Federation, defined as the EGI Foundation, the EGI Foundation Participants and Associated Participants, their linked organisations (e.g. service and resource providers) represented within EGI Foundation that contribute to the objectives of the EGI Foundation. For any other exploitation, any of the joint owners shall obtain permission in writing from the EGI Council (mail to: </w:t>
      </w:r>
      <w:hyperlink r:id="rId11" w:history="1">
        <w:r w:rsidR="00752F68" w:rsidRPr="00B20CD4">
          <w:rPr>
            <w:rStyle w:val="Hyperlink"/>
          </w:rPr>
          <w:t>council@mailman.egi.eu</w:t>
        </w:r>
      </w:hyperlink>
      <w:hyperlink r:id="rId12" w:history="1">
        <w:r w:rsidRPr="009F6714">
          <w:rPr>
            <w:rStyle w:val="Hyperlink"/>
          </w:rPr>
          <w:t>)</w:t>
        </w:r>
      </w:hyperlink>
      <w:r w:rsidRPr="009F6714">
        <w:t xml:space="preserve"> with at least 45 days of advance notice and fair and reasonable compensation</w:t>
      </w:r>
      <w:r>
        <w:t>.</w:t>
      </w:r>
    </w:p>
    <w:p w14:paraId="778CCFC2" w14:textId="2D8D686E" w:rsidR="009F6714" w:rsidRDefault="009F6714" w:rsidP="0039154D">
      <w:pPr>
        <w:pStyle w:val="Heading1"/>
      </w:pPr>
      <w:r>
        <w:t>Governing Law and Dispute Resolution</w:t>
      </w:r>
    </w:p>
    <w:p w14:paraId="59EEF865" w14:textId="6CD6E03C" w:rsidR="00AA72A3" w:rsidRDefault="00AA72A3" w:rsidP="00AA72A3">
      <w:pPr>
        <w:pStyle w:val="ListParagraph"/>
        <w:numPr>
          <w:ilvl w:val="0"/>
          <w:numId w:val="40"/>
        </w:numPr>
      </w:pPr>
      <w:r w:rsidRPr="00AA72A3">
        <w:t xml:space="preserve">The </w:t>
      </w:r>
      <w:r>
        <w:rPr>
          <w:lang w:val="en-US"/>
        </w:rPr>
        <w:t xml:space="preserve">EGI Foundation and the Supplier </w:t>
      </w:r>
      <w:r w:rsidRPr="00AA72A3">
        <w:t xml:space="preserve">shall endeavour to settle any dispute or difference in opinions amicably, through designated senior representatives of each </w:t>
      </w:r>
      <w:r>
        <w:rPr>
          <w:lang w:val="en-US"/>
        </w:rPr>
        <w:t>party</w:t>
      </w:r>
      <w:r w:rsidRPr="00AA72A3">
        <w:t xml:space="preserve"> who are not otherwise involved with the </w:t>
      </w:r>
      <w:r>
        <w:rPr>
          <w:lang w:val="en-US"/>
        </w:rPr>
        <w:t>EGI Core Component scope of work</w:t>
      </w:r>
      <w:r w:rsidRPr="00AA72A3">
        <w:t>, including by way of</w:t>
      </w:r>
      <w:r>
        <w:rPr>
          <w:lang w:val="en-US"/>
        </w:rPr>
        <w:t xml:space="preserve"> </w:t>
      </w:r>
      <w:r w:rsidRPr="00AA72A3">
        <w:t>escalating the matter to the EGI Council.</w:t>
      </w:r>
    </w:p>
    <w:p w14:paraId="758492D6" w14:textId="77777777" w:rsidR="00AA72A3" w:rsidRPr="00AA72A3" w:rsidRDefault="00AA72A3" w:rsidP="00AA72A3">
      <w:pPr>
        <w:pStyle w:val="ListParagraph"/>
        <w:numPr>
          <w:ilvl w:val="0"/>
          <w:numId w:val="40"/>
        </w:numPr>
      </w:pPr>
      <w:r w:rsidRPr="00AA72A3">
        <w:t>The terms of this policy shall be interpreted in accordance with their true meaning and effect independently of national and local law. Provided that if and insofar as this policy does not stipulate, or any of its terms are ambiguous or unclear, reference shall be made to the substantive laws of Belgium.</w:t>
      </w:r>
    </w:p>
    <w:p w14:paraId="24A57000" w14:textId="2B3BE1D8" w:rsidR="00AA72A3" w:rsidRPr="00AA72A3" w:rsidRDefault="00AA72A3" w:rsidP="00AA72A3">
      <w:pPr>
        <w:pStyle w:val="ListParagraph"/>
        <w:numPr>
          <w:ilvl w:val="0"/>
          <w:numId w:val="40"/>
        </w:numPr>
      </w:pPr>
      <w:r w:rsidRPr="00AA72A3">
        <w:t xml:space="preserve">All disputes arising out of or in connection with </w:t>
      </w:r>
      <w:r>
        <w:t>the performance of the EGI Core Component</w:t>
      </w:r>
      <w:r w:rsidRPr="00AA72A3">
        <w:t>, which cannot be solved amicably</w:t>
      </w:r>
      <w:r w:rsidR="00EE6CD8">
        <w:t xml:space="preserve"> within a reasonable time not exceeding sixty (60) days from the date the informal process is requested by notice in writing</w:t>
      </w:r>
      <w:r w:rsidRPr="00AA72A3">
        <w:t xml:space="preserve">, shall be finally settled under </w:t>
      </w:r>
      <w:r w:rsidRPr="00AA72A3">
        <w:lastRenderedPageBreak/>
        <w:t>the Rules of Arbitration of the International Chamber of Commerce by one or more arbitrators appointed in accordance with</w:t>
      </w:r>
      <w:r>
        <w:t xml:space="preserve"> </w:t>
      </w:r>
      <w:r w:rsidRPr="00AA72A3">
        <w:t xml:space="preserve">the said </w:t>
      </w:r>
      <w:r>
        <w:t>R</w:t>
      </w:r>
      <w:r w:rsidRPr="00AA72A3">
        <w:t>ules</w:t>
      </w:r>
      <w:r>
        <w:t>.</w:t>
      </w:r>
    </w:p>
    <w:p w14:paraId="65BEC27D" w14:textId="27C40223" w:rsidR="00AA72A3" w:rsidRPr="00AA72A3" w:rsidRDefault="00AA72A3" w:rsidP="00AA72A3">
      <w:pPr>
        <w:pStyle w:val="ListParagraph"/>
        <w:numPr>
          <w:ilvl w:val="0"/>
          <w:numId w:val="40"/>
        </w:numPr>
      </w:pPr>
      <w:r w:rsidRPr="00AA72A3">
        <w:t xml:space="preserve">The place of arbitration shall be Brussels if not otherwise agreed by the conflicting </w:t>
      </w:r>
      <w:r>
        <w:t>p</w:t>
      </w:r>
      <w:r w:rsidRPr="00AA72A3">
        <w:t>arties.</w:t>
      </w:r>
    </w:p>
    <w:p w14:paraId="0B5A04FF" w14:textId="0E1C66A1" w:rsidR="009F6714" w:rsidRPr="009F6714" w:rsidRDefault="00AA72A3" w:rsidP="00EE6CD8">
      <w:pPr>
        <w:pStyle w:val="ListParagraph"/>
        <w:numPr>
          <w:ilvl w:val="0"/>
          <w:numId w:val="40"/>
        </w:numPr>
      </w:pPr>
      <w:r w:rsidRPr="00AA72A3">
        <w:t xml:space="preserve">The award of the arbitration will be final and binding upon the </w:t>
      </w:r>
      <w:r>
        <w:t>parties</w:t>
      </w:r>
      <w:r w:rsidRPr="00AA72A3">
        <w:t>.</w:t>
      </w:r>
    </w:p>
    <w:p w14:paraId="177E641C" w14:textId="3FC79FA5" w:rsidR="009F6714" w:rsidRDefault="009F6714" w:rsidP="009F6714">
      <w:pPr>
        <w:pStyle w:val="ListParagraph"/>
        <w:numPr>
          <w:ilvl w:val="0"/>
          <w:numId w:val="40"/>
        </w:numPr>
      </w:pPr>
      <w:r w:rsidRPr="009F6714">
        <w:t xml:space="preserve">Nothing in this </w:t>
      </w:r>
      <w:r w:rsidR="00EE6CD8">
        <w:t>policy</w:t>
      </w:r>
      <w:r w:rsidRPr="009F6714">
        <w:t xml:space="preserve"> shall limit the </w:t>
      </w:r>
      <w:r>
        <w:t>parties’</w:t>
      </w:r>
      <w:r w:rsidRPr="009F6714">
        <w:t xml:space="preserve"> right to seek injunctive relief in any applicable competent court. </w:t>
      </w:r>
    </w:p>
    <w:p w14:paraId="15054655" w14:textId="74BC516E" w:rsidR="0039154D" w:rsidRDefault="0039154D" w:rsidP="0039154D">
      <w:pPr>
        <w:pStyle w:val="Heading1"/>
      </w:pPr>
      <w:r>
        <w:t xml:space="preserve">Entry into Force, </w:t>
      </w:r>
      <w:r w:rsidR="00D3061E">
        <w:t>Duration</w:t>
      </w:r>
      <w:r>
        <w:t xml:space="preserve"> and Termination</w:t>
      </w:r>
    </w:p>
    <w:p w14:paraId="4B201AE3" w14:textId="488307B5" w:rsidR="0039154D" w:rsidRDefault="0039154D" w:rsidP="0039154D">
      <w:pPr>
        <w:numPr>
          <w:ilvl w:val="0"/>
          <w:numId w:val="22"/>
        </w:numPr>
        <w:rPr>
          <w:lang w:val="en-US"/>
        </w:rPr>
      </w:pPr>
      <w:r w:rsidRPr="0039154D">
        <w:t>The Agreement to be entered by the EGI Foundation and the Supplier</w:t>
      </w:r>
      <w:r w:rsidR="005438BD">
        <w:t>,</w:t>
      </w:r>
      <w:r w:rsidRPr="0039154D">
        <w:t xml:space="preserve"> shall remain in effect for </w:t>
      </w:r>
      <w:r w:rsidR="002A1002">
        <w:t>12</w:t>
      </w:r>
      <w:r w:rsidRPr="0039154D">
        <w:t xml:space="preserve"> </w:t>
      </w:r>
      <w:r w:rsidR="002A1002">
        <w:t>months</w:t>
      </w:r>
      <w:r w:rsidRPr="0039154D">
        <w:t xml:space="preserve"> </w:t>
      </w:r>
      <w:r w:rsidR="002A1002">
        <w:t xml:space="preserve">starting on July 01 of each calendar year </w:t>
      </w:r>
      <w:r w:rsidRPr="0039154D">
        <w:t>unless otherwise decided by the EGI Council</w:t>
      </w:r>
      <w:r w:rsidRPr="0039154D">
        <w:rPr>
          <w:lang w:val="en-US"/>
        </w:rPr>
        <w:t>.</w:t>
      </w:r>
    </w:p>
    <w:p w14:paraId="0E648F33" w14:textId="6580D236" w:rsidR="00DD7EC1" w:rsidRPr="0039154D" w:rsidRDefault="0039154D" w:rsidP="00DD7EC1">
      <w:pPr>
        <w:numPr>
          <w:ilvl w:val="0"/>
          <w:numId w:val="22"/>
        </w:numPr>
        <w:rPr>
          <w:lang w:val="en-US"/>
        </w:rPr>
      </w:pPr>
      <w:r w:rsidRPr="0039154D">
        <w:t xml:space="preserve">In the event of early termination of the Agreement, a </w:t>
      </w:r>
      <w:r w:rsidR="002A1002" w:rsidRPr="0039154D">
        <w:t>six-week</w:t>
      </w:r>
      <w:r w:rsidRPr="0039154D">
        <w:t xml:space="preserve"> notice shall be provided in writing to the other party in the Agreement</w:t>
      </w:r>
      <w:r>
        <w:t>.</w:t>
      </w:r>
    </w:p>
    <w:p w14:paraId="5D3A4C3F" w14:textId="36892758" w:rsidR="00DD7EC1" w:rsidRDefault="00DD7EC1" w:rsidP="00DB165B">
      <w:pPr>
        <w:pStyle w:val="Heading1"/>
        <w:rPr>
          <w:lang w:val="en-US"/>
        </w:rPr>
      </w:pPr>
      <w:r>
        <w:rPr>
          <w:lang w:val="en-US"/>
        </w:rPr>
        <w:t xml:space="preserve">Amendment of </w:t>
      </w:r>
      <w:r w:rsidR="00EE6CD8">
        <w:rPr>
          <w:lang w:val="en-US"/>
        </w:rPr>
        <w:t>this Policy</w:t>
      </w:r>
    </w:p>
    <w:p w14:paraId="19540533" w14:textId="77777777" w:rsidR="00DD7EC1" w:rsidRPr="00F40490" w:rsidRDefault="00DD7EC1" w:rsidP="00DD7EC1">
      <w:pPr>
        <w:pStyle w:val="ListParagraph"/>
        <w:numPr>
          <w:ilvl w:val="0"/>
          <w:numId w:val="24"/>
        </w:numPr>
        <w:spacing w:after="200"/>
        <w:rPr>
          <w:lang w:val="en-US"/>
        </w:rPr>
      </w:pPr>
      <w:r w:rsidRPr="00F40490">
        <w:rPr>
          <w:lang w:val="en-US"/>
        </w:rPr>
        <w:t xml:space="preserve">The articles may only be amended by a resolution of the </w:t>
      </w:r>
      <w:r>
        <w:rPr>
          <w:lang w:val="en-US"/>
        </w:rPr>
        <w:t>Council</w:t>
      </w:r>
      <w:r w:rsidRPr="00F40490">
        <w:rPr>
          <w:lang w:val="en-US"/>
        </w:rPr>
        <w:t>.</w:t>
      </w:r>
    </w:p>
    <w:p w14:paraId="6ADAB656" w14:textId="77777777" w:rsidR="00EE6CD8" w:rsidRDefault="00DD7EC1" w:rsidP="00DD7EC1">
      <w:pPr>
        <w:pStyle w:val="ListParagraph"/>
        <w:numPr>
          <w:ilvl w:val="0"/>
          <w:numId w:val="24"/>
        </w:numPr>
        <w:spacing w:after="200"/>
        <w:rPr>
          <w:lang w:val="en-US"/>
        </w:rPr>
      </w:pPr>
      <w:r w:rsidRPr="00F40490">
        <w:rPr>
          <w:lang w:val="en-US"/>
        </w:rPr>
        <w:t xml:space="preserve">For this </w:t>
      </w:r>
      <w:r w:rsidR="003A1407" w:rsidRPr="00F40490">
        <w:rPr>
          <w:lang w:val="en-US"/>
        </w:rPr>
        <w:t>purpose,</w:t>
      </w:r>
      <w:r w:rsidRPr="00F40490">
        <w:rPr>
          <w:lang w:val="en-US"/>
        </w:rPr>
        <w:t xml:space="preserve"> the members of the </w:t>
      </w:r>
      <w:r>
        <w:rPr>
          <w:lang w:val="en-US"/>
        </w:rPr>
        <w:t>Council</w:t>
      </w:r>
      <w:r w:rsidRPr="00F40490">
        <w:rPr>
          <w:lang w:val="en-US"/>
        </w:rPr>
        <w:t xml:space="preserve"> will be called to attend a meeting by the </w:t>
      </w:r>
      <w:r>
        <w:rPr>
          <w:lang w:val="en-US"/>
        </w:rPr>
        <w:t>Chairperson</w:t>
      </w:r>
      <w:r w:rsidRPr="00F40490">
        <w:rPr>
          <w:lang w:val="en-US"/>
        </w:rPr>
        <w:t xml:space="preserve"> of the </w:t>
      </w:r>
      <w:r>
        <w:rPr>
          <w:lang w:val="en-US"/>
        </w:rPr>
        <w:t>Council</w:t>
      </w:r>
      <w:r w:rsidRPr="00F40490">
        <w:rPr>
          <w:lang w:val="en-US"/>
        </w:rPr>
        <w:t xml:space="preserve"> within a period of at least twenty-one calendar days, whilst the convening notice will state the proposed amendment of the articles.</w:t>
      </w:r>
    </w:p>
    <w:p w14:paraId="51348BBD" w14:textId="791D0F23" w:rsidR="00DD7EC1" w:rsidRPr="00EE6CD8" w:rsidRDefault="00DD7EC1" w:rsidP="00DD7EC1">
      <w:pPr>
        <w:pStyle w:val="ListParagraph"/>
        <w:numPr>
          <w:ilvl w:val="0"/>
          <w:numId w:val="24"/>
        </w:numPr>
        <w:spacing w:after="200"/>
        <w:rPr>
          <w:lang w:val="en-US"/>
        </w:rPr>
      </w:pPr>
      <w:r w:rsidRPr="00EE6CD8">
        <w:rPr>
          <w:lang w:val="en-US"/>
        </w:rPr>
        <w:t xml:space="preserve">A resolution for the amendment of the articles may only be adopted by a </w:t>
      </w:r>
      <w:r w:rsidR="003A1407" w:rsidRPr="00EE6CD8">
        <w:rPr>
          <w:lang w:val="en-US"/>
        </w:rPr>
        <w:t>simple</w:t>
      </w:r>
      <w:r w:rsidRPr="00EE6CD8">
        <w:rPr>
          <w:lang w:val="en-US"/>
        </w:rPr>
        <w:t xml:space="preserve"> majority vote.</w:t>
      </w:r>
    </w:p>
    <w:sectPr w:rsidR="00DD7EC1" w:rsidRPr="00EE6CD8" w:rsidSect="008F5D21">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55754" w14:textId="77777777" w:rsidR="00DE5B54" w:rsidRDefault="00DE5B54" w:rsidP="00835E24">
      <w:pPr>
        <w:spacing w:after="0" w:line="240" w:lineRule="auto"/>
      </w:pPr>
      <w:r>
        <w:separator/>
      </w:r>
    </w:p>
  </w:endnote>
  <w:endnote w:type="continuationSeparator" w:id="0">
    <w:p w14:paraId="154DC5A3" w14:textId="77777777" w:rsidR="00DE5B54" w:rsidRDefault="00DE5B5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02"/>
      <w:gridCol w:w="2999"/>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000000"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628570FD" w:rsidR="00D859A3" w:rsidRPr="00757E35" w:rsidRDefault="00180B8D" w:rsidP="00D859A3">
          <w:pPr>
            <w:pStyle w:val="Footer"/>
            <w:snapToGrid w:val="0"/>
            <w:jc w:val="center"/>
            <w:rPr>
              <w:rFonts w:asciiTheme="minorHAnsi" w:hAnsiTheme="minorHAnsi"/>
              <w:sz w:val="18"/>
              <w:szCs w:val="18"/>
            </w:rPr>
          </w:pPr>
          <w:r>
            <w:rPr>
              <w:rFonts w:asciiTheme="minorHAnsi" w:hAnsiTheme="minorHAnsi"/>
              <w:sz w:val="18"/>
              <w:szCs w:val="18"/>
            </w:rPr>
            <w:t xml:space="preserve">This work by EGI Foundation </w:t>
          </w:r>
          <w:r w:rsidR="00D859A3" w:rsidRPr="00757E35">
            <w:rPr>
              <w:rFonts w:asciiTheme="minorHAnsi" w:hAnsiTheme="minorHAnsi"/>
              <w:sz w:val="18"/>
              <w:szCs w:val="18"/>
            </w:rPr>
            <w:t xml:space="preserve">is licensed under a </w:t>
          </w:r>
        </w:p>
        <w:p w14:paraId="37BD5E65" w14:textId="77777777" w:rsidR="0010672E" w:rsidRPr="00962667" w:rsidRDefault="00000000"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19D91" w14:textId="77777777" w:rsidR="00DE5B54" w:rsidRDefault="00DE5B54" w:rsidP="00835E24">
      <w:pPr>
        <w:spacing w:after="0" w:line="240" w:lineRule="auto"/>
      </w:pPr>
      <w:r>
        <w:separator/>
      </w:r>
    </w:p>
  </w:footnote>
  <w:footnote w:type="continuationSeparator" w:id="0">
    <w:p w14:paraId="2AD482C3" w14:textId="77777777" w:rsidR="00DE5B54" w:rsidRDefault="00DE5B54"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789"/>
    </w:tblGrid>
    <w:tr w:rsidR="00B80FB4" w14:paraId="04961F9A" w14:textId="77777777" w:rsidTr="0047132F">
      <w:tc>
        <w:tcPr>
          <w:tcW w:w="6237" w:type="dxa"/>
        </w:tcPr>
        <w:p w14:paraId="6B368865" w14:textId="4D5C995D" w:rsidR="00B80FB4" w:rsidRDefault="0047132F" w:rsidP="00163455">
          <w:r>
            <w:rPr>
              <w:color w:val="4F81BD" w:themeColor="accent1"/>
            </w:rPr>
            <w:t>EGI Council Policy 0</w:t>
          </w:r>
          <w:r w:rsidR="00205B56">
            <w:rPr>
              <w:color w:val="4F81BD" w:themeColor="accent1"/>
            </w:rPr>
            <w:t>8</w:t>
          </w:r>
          <w:r>
            <w:rPr>
              <w:color w:val="4F81BD" w:themeColor="accent1"/>
            </w:rPr>
            <w:t>. EGI Core Provisioning and Funding</w:t>
          </w:r>
        </w:p>
      </w:tc>
      <w:tc>
        <w:tcPr>
          <w:tcW w:w="2789" w:type="dxa"/>
        </w:tcPr>
        <w:p w14:paraId="261B68F4" w14:textId="77852F32" w:rsidR="00B80FB4" w:rsidRDefault="00B80FB4" w:rsidP="00D065EF">
          <w:pPr>
            <w:jc w:val="right"/>
          </w:pPr>
        </w:p>
      </w:tc>
    </w:tr>
  </w:tbl>
  <w:p w14:paraId="0E470AF3" w14:textId="0D79F565"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706E"/>
    <w:multiLevelType w:val="multilevel"/>
    <w:tmpl w:val="E1921F44"/>
    <w:lvl w:ilvl="0">
      <w:start w:val="1"/>
      <w:numFmt w:val="decimal"/>
      <w:lvlText w:val="%1."/>
      <w:lvlJc w:val="left"/>
      <w:pPr>
        <w:ind w:left="9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6F58EF"/>
    <w:multiLevelType w:val="hybridMultilevel"/>
    <w:tmpl w:val="6360B3D4"/>
    <w:lvl w:ilvl="0" w:tplc="D34E047C">
      <w:start w:val="1"/>
      <w:numFmt w:val="decimal"/>
      <w:lvlText w:val="Article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C7AF7"/>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13529"/>
    <w:multiLevelType w:val="hybridMultilevel"/>
    <w:tmpl w:val="C6E267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98378D1"/>
    <w:multiLevelType w:val="multilevel"/>
    <w:tmpl w:val="C554AC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A207FD0"/>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1A8C2A75"/>
    <w:multiLevelType w:val="hybridMultilevel"/>
    <w:tmpl w:val="58E82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4012E"/>
    <w:multiLevelType w:val="hybridMultilevel"/>
    <w:tmpl w:val="45AC2E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83348C"/>
    <w:multiLevelType w:val="hybridMultilevel"/>
    <w:tmpl w:val="144058FE"/>
    <w:lvl w:ilvl="0" w:tplc="25C674E0">
      <w:start w:val="1"/>
      <w:numFmt w:val="decimal"/>
      <w:lvlText w:val="%1."/>
      <w:lvlJc w:val="left"/>
      <w:pPr>
        <w:ind w:left="720" w:hanging="360"/>
      </w:pPr>
      <w:rPr>
        <w:rFonts w:ascii="Calibri" w:eastAsiaTheme="minorHAnsi" w:hAnsi="Calibr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A6ABB"/>
    <w:multiLevelType w:val="hybridMultilevel"/>
    <w:tmpl w:val="5E86C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C40E85"/>
    <w:multiLevelType w:val="hybridMultilevel"/>
    <w:tmpl w:val="61C096D2"/>
    <w:lvl w:ilvl="0" w:tplc="FFCAAD1C">
      <w:numFmt w:val="bullet"/>
      <w:lvlText w:val=""/>
      <w:lvlJc w:val="left"/>
      <w:pPr>
        <w:ind w:left="720" w:hanging="360"/>
      </w:pPr>
      <w:rPr>
        <w:rFonts w:ascii="Symbol" w:eastAsia="Times New Roman" w:hAnsi="Symbol" w:hint="default"/>
      </w:rPr>
    </w:lvl>
    <w:lvl w:ilvl="1" w:tplc="04070013">
      <w:start w:val="1"/>
      <w:numFmt w:val="upperRoman"/>
      <w:lvlText w:val="%2."/>
      <w:lvlJc w:val="righ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46C37"/>
    <w:multiLevelType w:val="multilevel"/>
    <w:tmpl w:val="031A4FC2"/>
    <w:lvl w:ilvl="0">
      <w:start w:val="1"/>
      <w:numFmt w:val="decimal"/>
      <w:lvlText w:val="Article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2F42CB"/>
    <w:multiLevelType w:val="hybridMultilevel"/>
    <w:tmpl w:val="DD3E394A"/>
    <w:lvl w:ilvl="0" w:tplc="03DC7E0A">
      <w:start w:val="1"/>
      <w:numFmt w:val="decimal"/>
      <w:lvlText w:val="Article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DD5502"/>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4E555E76"/>
    <w:multiLevelType w:val="hybridMultilevel"/>
    <w:tmpl w:val="0BA86604"/>
    <w:lvl w:ilvl="0" w:tplc="1A823044">
      <w:start w:val="1"/>
      <w:numFmt w:val="decimal"/>
      <w:lvlText w:val="Article %1."/>
      <w:lvlJc w:val="left"/>
      <w:pPr>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3" w15:restartNumberingAfterBreak="0">
    <w:nsid w:val="55317698"/>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5E274B8C"/>
    <w:multiLevelType w:val="hybridMultilevel"/>
    <w:tmpl w:val="BB380C80"/>
    <w:lvl w:ilvl="0" w:tplc="86BC6776">
      <w:start w:val="1"/>
      <w:numFmt w:val="decimal"/>
      <w:lvlText w:val="Article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39498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323B39"/>
    <w:multiLevelType w:val="hybridMultilevel"/>
    <w:tmpl w:val="7DBAE6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B1BEA"/>
    <w:multiLevelType w:val="hybridMultilevel"/>
    <w:tmpl w:val="FE581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100832"/>
    <w:multiLevelType w:val="multilevel"/>
    <w:tmpl w:val="4C442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18624E"/>
    <w:multiLevelType w:val="hybridMultilevel"/>
    <w:tmpl w:val="508A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10052"/>
    <w:multiLevelType w:val="hybridMultilevel"/>
    <w:tmpl w:val="0AD4A20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FD0DDE"/>
    <w:multiLevelType w:val="hybridMultilevel"/>
    <w:tmpl w:val="C6E2675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7BD15001"/>
    <w:multiLevelType w:val="multilevel"/>
    <w:tmpl w:val="05B2CF2E"/>
    <w:lvl w:ilvl="0">
      <w:start w:val="1"/>
      <w:numFmt w:val="decimal"/>
      <w:pStyle w:val="BulletList3"/>
      <w:lvlText w:val="%1."/>
      <w:lvlJc w:val="left"/>
      <w:pPr>
        <w:ind w:left="720" w:hanging="720"/>
      </w:pPr>
      <w:rPr>
        <w:color w:val="000000"/>
        <w:vertAlign w:val="baseline"/>
      </w:rPr>
    </w:lvl>
    <w:lvl w:ilvl="1">
      <w:start w:val="1"/>
      <w:numFmt w:val="decimal"/>
      <w:lvlText w:val="%1.%2"/>
      <w:lvlJc w:val="left"/>
      <w:pPr>
        <w:ind w:left="720" w:hanging="720"/>
      </w:pPr>
      <w:rPr>
        <w:color w:val="000000"/>
        <w:vertAlign w:val="baseline"/>
      </w:rPr>
    </w:lvl>
    <w:lvl w:ilvl="2">
      <w:start w:val="1"/>
      <w:numFmt w:val="lowerLetter"/>
      <w:lvlText w:val="(%3)"/>
      <w:lvlJc w:val="left"/>
      <w:pPr>
        <w:ind w:left="1555" w:hanging="561"/>
      </w:pPr>
      <w:rPr>
        <w:color w:val="000000"/>
        <w:vertAlign w:val="baseline"/>
      </w:rPr>
    </w:lvl>
    <w:lvl w:ilvl="3">
      <w:start w:val="1"/>
      <w:numFmt w:val="lowerRoman"/>
      <w:lvlText w:val="(%4)"/>
      <w:lvlJc w:val="left"/>
      <w:pPr>
        <w:ind w:left="2275" w:hanging="576"/>
      </w:pPr>
      <w:rPr>
        <w:color w:val="000000"/>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75DAA"/>
    <w:multiLevelType w:val="hybridMultilevel"/>
    <w:tmpl w:val="40A2FD70"/>
    <w:lvl w:ilvl="0" w:tplc="D34E047C">
      <w:start w:val="1"/>
      <w:numFmt w:val="decimal"/>
      <w:pStyle w:val="Heading1"/>
      <w:lvlText w:val="Article %1."/>
      <w:lvlJc w:val="left"/>
      <w:pPr>
        <w:ind w:left="709"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9123603">
    <w:abstractNumId w:val="18"/>
  </w:num>
  <w:num w:numId="2" w16cid:durableId="90319886">
    <w:abstractNumId w:val="25"/>
  </w:num>
  <w:num w:numId="3" w16cid:durableId="332417501">
    <w:abstractNumId w:val="33"/>
  </w:num>
  <w:num w:numId="4" w16cid:durableId="1150366710">
    <w:abstractNumId w:val="1"/>
  </w:num>
  <w:num w:numId="5" w16cid:durableId="1832983544">
    <w:abstractNumId w:val="5"/>
  </w:num>
  <w:num w:numId="6" w16cid:durableId="911350568">
    <w:abstractNumId w:val="15"/>
  </w:num>
  <w:num w:numId="7" w16cid:durableId="219021640">
    <w:abstractNumId w:val="15"/>
    <w:lvlOverride w:ilvl="0">
      <w:startOverride w:val="1"/>
    </w:lvlOverride>
  </w:num>
  <w:num w:numId="8" w16cid:durableId="203760814">
    <w:abstractNumId w:val="14"/>
  </w:num>
  <w:num w:numId="9" w16cid:durableId="1271163789">
    <w:abstractNumId w:val="7"/>
  </w:num>
  <w:num w:numId="10" w16cid:durableId="46875562">
    <w:abstractNumId w:val="13"/>
  </w:num>
  <w:num w:numId="11" w16cid:durableId="1998534354">
    <w:abstractNumId w:val="4"/>
  </w:num>
  <w:num w:numId="12" w16cid:durableId="488715806">
    <w:abstractNumId w:val="36"/>
  </w:num>
  <w:num w:numId="13" w16cid:durableId="194318722">
    <w:abstractNumId w:val="27"/>
  </w:num>
  <w:num w:numId="14" w16cid:durableId="1805098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74245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280524">
    <w:abstractNumId w:val="16"/>
  </w:num>
  <w:num w:numId="17" w16cid:durableId="209810590">
    <w:abstractNumId w:val="21"/>
  </w:num>
  <w:num w:numId="18" w16cid:durableId="1735539369">
    <w:abstractNumId w:val="8"/>
  </w:num>
  <w:num w:numId="19" w16cid:durableId="967706621">
    <w:abstractNumId w:val="17"/>
  </w:num>
  <w:num w:numId="20" w16cid:durableId="1273786507">
    <w:abstractNumId w:val="3"/>
  </w:num>
  <w:num w:numId="21" w16cid:durableId="992442119">
    <w:abstractNumId w:val="22"/>
  </w:num>
  <w:num w:numId="22" w16cid:durableId="78840660">
    <w:abstractNumId w:val="34"/>
  </w:num>
  <w:num w:numId="23" w16cid:durableId="342363646">
    <w:abstractNumId w:val="32"/>
  </w:num>
  <w:num w:numId="24" w16cid:durableId="179897333">
    <w:abstractNumId w:val="23"/>
  </w:num>
  <w:num w:numId="25" w16cid:durableId="388918833">
    <w:abstractNumId w:val="24"/>
  </w:num>
  <w:num w:numId="26" w16cid:durableId="1186748884">
    <w:abstractNumId w:val="19"/>
  </w:num>
  <w:num w:numId="27" w16cid:durableId="773597771">
    <w:abstractNumId w:val="20"/>
  </w:num>
  <w:num w:numId="28" w16cid:durableId="1643271451">
    <w:abstractNumId w:val="26"/>
  </w:num>
  <w:num w:numId="29" w16cid:durableId="308674911">
    <w:abstractNumId w:val="2"/>
  </w:num>
  <w:num w:numId="30" w16cid:durableId="2016300476">
    <w:abstractNumId w:val="30"/>
  </w:num>
  <w:num w:numId="31" w16cid:durableId="466510156">
    <w:abstractNumId w:val="31"/>
  </w:num>
  <w:num w:numId="32" w16cid:durableId="2084990937">
    <w:abstractNumId w:val="37"/>
  </w:num>
  <w:num w:numId="33" w16cid:durableId="391512467">
    <w:abstractNumId w:val="6"/>
  </w:num>
  <w:num w:numId="34" w16cid:durableId="1835297429">
    <w:abstractNumId w:val="10"/>
  </w:num>
  <w:num w:numId="35" w16cid:durableId="1757166345">
    <w:abstractNumId w:val="11"/>
  </w:num>
  <w:num w:numId="36" w16cid:durableId="762065394">
    <w:abstractNumId w:val="28"/>
  </w:num>
  <w:num w:numId="37" w16cid:durableId="725496343">
    <w:abstractNumId w:val="0"/>
  </w:num>
  <w:num w:numId="38" w16cid:durableId="1465731965">
    <w:abstractNumId w:val="9"/>
  </w:num>
  <w:num w:numId="39" w16cid:durableId="1267153567">
    <w:abstractNumId w:val="12"/>
  </w:num>
  <w:num w:numId="40" w16cid:durableId="563416184">
    <w:abstractNumId w:val="29"/>
  </w:num>
  <w:num w:numId="41" w16cid:durableId="16206411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22F9F"/>
    <w:rsid w:val="000502D5"/>
    <w:rsid w:val="00055709"/>
    <w:rsid w:val="00055B35"/>
    <w:rsid w:val="0005631A"/>
    <w:rsid w:val="00062C7D"/>
    <w:rsid w:val="000827DF"/>
    <w:rsid w:val="000852E1"/>
    <w:rsid w:val="00095606"/>
    <w:rsid w:val="000D7CD7"/>
    <w:rsid w:val="000E00D2"/>
    <w:rsid w:val="000E17FC"/>
    <w:rsid w:val="001013F4"/>
    <w:rsid w:val="0010672E"/>
    <w:rsid w:val="001207D1"/>
    <w:rsid w:val="00123C53"/>
    <w:rsid w:val="00130F8B"/>
    <w:rsid w:val="001624FB"/>
    <w:rsid w:val="0016332A"/>
    <w:rsid w:val="00163455"/>
    <w:rsid w:val="001677CF"/>
    <w:rsid w:val="00180B8D"/>
    <w:rsid w:val="001A5E8F"/>
    <w:rsid w:val="001C5D2E"/>
    <w:rsid w:val="001C68FD"/>
    <w:rsid w:val="001F1FC7"/>
    <w:rsid w:val="00205B56"/>
    <w:rsid w:val="00221D0C"/>
    <w:rsid w:val="00227F47"/>
    <w:rsid w:val="00236FAC"/>
    <w:rsid w:val="002539A4"/>
    <w:rsid w:val="0027170B"/>
    <w:rsid w:val="002809FA"/>
    <w:rsid w:val="00283160"/>
    <w:rsid w:val="002A1002"/>
    <w:rsid w:val="002A3C5A"/>
    <w:rsid w:val="002A7241"/>
    <w:rsid w:val="002B5A7E"/>
    <w:rsid w:val="002E5F1F"/>
    <w:rsid w:val="002F7E77"/>
    <w:rsid w:val="00337DFA"/>
    <w:rsid w:val="0035124F"/>
    <w:rsid w:val="0039154D"/>
    <w:rsid w:val="003A1407"/>
    <w:rsid w:val="003A6D9F"/>
    <w:rsid w:val="004161FD"/>
    <w:rsid w:val="004338C6"/>
    <w:rsid w:val="004474A8"/>
    <w:rsid w:val="00454D75"/>
    <w:rsid w:val="0047132F"/>
    <w:rsid w:val="0049232C"/>
    <w:rsid w:val="00493659"/>
    <w:rsid w:val="004A3ECF"/>
    <w:rsid w:val="004B04FF"/>
    <w:rsid w:val="004D249B"/>
    <w:rsid w:val="004D363A"/>
    <w:rsid w:val="004D6DFA"/>
    <w:rsid w:val="004E24E2"/>
    <w:rsid w:val="004E293C"/>
    <w:rsid w:val="00501E2A"/>
    <w:rsid w:val="00520E39"/>
    <w:rsid w:val="0054285E"/>
    <w:rsid w:val="005438BD"/>
    <w:rsid w:val="00551BFA"/>
    <w:rsid w:val="0056751B"/>
    <w:rsid w:val="00583D6B"/>
    <w:rsid w:val="00595E3B"/>
    <w:rsid w:val="005962E0"/>
    <w:rsid w:val="00596582"/>
    <w:rsid w:val="005A339C"/>
    <w:rsid w:val="005B66D4"/>
    <w:rsid w:val="005C435E"/>
    <w:rsid w:val="005D14DF"/>
    <w:rsid w:val="005D18AA"/>
    <w:rsid w:val="005E157C"/>
    <w:rsid w:val="005E5D31"/>
    <w:rsid w:val="006669E7"/>
    <w:rsid w:val="00674D1C"/>
    <w:rsid w:val="00676B2F"/>
    <w:rsid w:val="00681648"/>
    <w:rsid w:val="006971E0"/>
    <w:rsid w:val="006B29D8"/>
    <w:rsid w:val="006B73E2"/>
    <w:rsid w:val="006D37AE"/>
    <w:rsid w:val="006D527C"/>
    <w:rsid w:val="006E6538"/>
    <w:rsid w:val="006E720E"/>
    <w:rsid w:val="006F7556"/>
    <w:rsid w:val="006F79B7"/>
    <w:rsid w:val="0072045A"/>
    <w:rsid w:val="00733386"/>
    <w:rsid w:val="00744D54"/>
    <w:rsid w:val="00752F68"/>
    <w:rsid w:val="00782A92"/>
    <w:rsid w:val="007A1C1A"/>
    <w:rsid w:val="007A43DB"/>
    <w:rsid w:val="007C78CA"/>
    <w:rsid w:val="00813ED4"/>
    <w:rsid w:val="00835E24"/>
    <w:rsid w:val="00840515"/>
    <w:rsid w:val="00841B9A"/>
    <w:rsid w:val="00873234"/>
    <w:rsid w:val="00884BC8"/>
    <w:rsid w:val="008B1E35"/>
    <w:rsid w:val="008B2F11"/>
    <w:rsid w:val="008D1EC3"/>
    <w:rsid w:val="008D7F22"/>
    <w:rsid w:val="008E145B"/>
    <w:rsid w:val="008F5D21"/>
    <w:rsid w:val="009044B5"/>
    <w:rsid w:val="00913074"/>
    <w:rsid w:val="009138D4"/>
    <w:rsid w:val="00915227"/>
    <w:rsid w:val="00921A70"/>
    <w:rsid w:val="009245AE"/>
    <w:rsid w:val="00931656"/>
    <w:rsid w:val="00947A45"/>
    <w:rsid w:val="0095153E"/>
    <w:rsid w:val="009539BF"/>
    <w:rsid w:val="00954697"/>
    <w:rsid w:val="00976A73"/>
    <w:rsid w:val="00980BA0"/>
    <w:rsid w:val="009C6B92"/>
    <w:rsid w:val="009F1E23"/>
    <w:rsid w:val="009F6714"/>
    <w:rsid w:val="009F7A5A"/>
    <w:rsid w:val="00A04362"/>
    <w:rsid w:val="00A142E3"/>
    <w:rsid w:val="00A312B2"/>
    <w:rsid w:val="00A33AC2"/>
    <w:rsid w:val="00A5267D"/>
    <w:rsid w:val="00A53F7F"/>
    <w:rsid w:val="00A5639F"/>
    <w:rsid w:val="00A67816"/>
    <w:rsid w:val="00A67862"/>
    <w:rsid w:val="00A90CD1"/>
    <w:rsid w:val="00AA72A3"/>
    <w:rsid w:val="00AB042E"/>
    <w:rsid w:val="00AD3D48"/>
    <w:rsid w:val="00B107DD"/>
    <w:rsid w:val="00B46C00"/>
    <w:rsid w:val="00B60F00"/>
    <w:rsid w:val="00B80FB4"/>
    <w:rsid w:val="00B85B70"/>
    <w:rsid w:val="00B87285"/>
    <w:rsid w:val="00B9637E"/>
    <w:rsid w:val="00B964AE"/>
    <w:rsid w:val="00B976B8"/>
    <w:rsid w:val="00BC42B4"/>
    <w:rsid w:val="00BC7120"/>
    <w:rsid w:val="00C16976"/>
    <w:rsid w:val="00C33D16"/>
    <w:rsid w:val="00C40D39"/>
    <w:rsid w:val="00C63D9F"/>
    <w:rsid w:val="00C82428"/>
    <w:rsid w:val="00C96C8F"/>
    <w:rsid w:val="00CB1D9E"/>
    <w:rsid w:val="00CD57DB"/>
    <w:rsid w:val="00CD7FBE"/>
    <w:rsid w:val="00CE52EC"/>
    <w:rsid w:val="00CF1E31"/>
    <w:rsid w:val="00CF47A2"/>
    <w:rsid w:val="00D04EA5"/>
    <w:rsid w:val="00D065EF"/>
    <w:rsid w:val="00D075E1"/>
    <w:rsid w:val="00D209D3"/>
    <w:rsid w:val="00D26F29"/>
    <w:rsid w:val="00D3061E"/>
    <w:rsid w:val="00D42568"/>
    <w:rsid w:val="00D47905"/>
    <w:rsid w:val="00D64FD7"/>
    <w:rsid w:val="00D853D1"/>
    <w:rsid w:val="00D859A3"/>
    <w:rsid w:val="00D9315C"/>
    <w:rsid w:val="00D95F48"/>
    <w:rsid w:val="00DA22B4"/>
    <w:rsid w:val="00DB165B"/>
    <w:rsid w:val="00DB3D44"/>
    <w:rsid w:val="00DB7E75"/>
    <w:rsid w:val="00DD7EC1"/>
    <w:rsid w:val="00DE5B54"/>
    <w:rsid w:val="00E04C11"/>
    <w:rsid w:val="00E06D2A"/>
    <w:rsid w:val="00E208DA"/>
    <w:rsid w:val="00E40652"/>
    <w:rsid w:val="00E45493"/>
    <w:rsid w:val="00E57F0F"/>
    <w:rsid w:val="00E61E14"/>
    <w:rsid w:val="00E73A73"/>
    <w:rsid w:val="00E8128D"/>
    <w:rsid w:val="00E86924"/>
    <w:rsid w:val="00EA0255"/>
    <w:rsid w:val="00EA73F8"/>
    <w:rsid w:val="00EC504F"/>
    <w:rsid w:val="00EC75A5"/>
    <w:rsid w:val="00ED10AD"/>
    <w:rsid w:val="00EE2F6A"/>
    <w:rsid w:val="00EE4055"/>
    <w:rsid w:val="00EE6CD8"/>
    <w:rsid w:val="00F06E24"/>
    <w:rsid w:val="00F337DD"/>
    <w:rsid w:val="00F36F74"/>
    <w:rsid w:val="00F42F91"/>
    <w:rsid w:val="00F62F25"/>
    <w:rsid w:val="00F7162A"/>
    <w:rsid w:val="00F76ADB"/>
    <w:rsid w:val="00F81A6C"/>
    <w:rsid w:val="00FB5C97"/>
    <w:rsid w:val="00FD23F0"/>
    <w:rsid w:val="00FD56BF"/>
    <w:rsid w:val="00FF53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F85FA"/>
  <w15:docId w15:val="{DF527486-4D6D-5F4D-B4D9-31F99C00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eading 1 no break"/>
    <w:basedOn w:val="Normal"/>
    <w:next w:val="Normal"/>
    <w:link w:val="Heading1Char"/>
    <w:autoRedefine/>
    <w:uiPriority w:val="9"/>
    <w:qFormat/>
    <w:rsid w:val="00DB165B"/>
    <w:pPr>
      <w:keepNext/>
      <w:keepLines/>
      <w:numPr>
        <w:numId w:val="32"/>
      </w:numPr>
      <w:spacing w:before="480"/>
      <w:ind w:left="0"/>
      <w:outlineLvl w:val="0"/>
    </w:pPr>
    <w:rPr>
      <w:rFonts w:eastAsiaTheme="majorEastAsia" w:cstheme="majorBidi"/>
      <w:b/>
      <w:bCs/>
      <w:color w:val="0063AA"/>
      <w:spacing w:val="0"/>
      <w:sz w:val="32"/>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aliases w:val="Heading 1 no break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120" w:after="0"/>
      <w:jc w:val="left"/>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D95F48"/>
    <w:pPr>
      <w:spacing w:before="120" w:after="0"/>
      <w:ind w:left="220"/>
      <w:jc w:val="left"/>
    </w:pPr>
    <w:rPr>
      <w:rFonts w:asciiTheme="minorHAnsi" w:hAnsiTheme="minorHAnsi" w:cstheme="minorHAnsi"/>
      <w:b/>
      <w:bCs/>
    </w:rPr>
  </w:style>
  <w:style w:type="paragraph" w:styleId="TOC3">
    <w:name w:val="toc 3"/>
    <w:basedOn w:val="Normal"/>
    <w:next w:val="Normal"/>
    <w:autoRedefine/>
    <w:uiPriority w:val="39"/>
    <w:unhideWhenUsed/>
    <w:rsid w:val="00D95F48"/>
    <w:pPr>
      <w:spacing w:after="0"/>
      <w:ind w:left="440"/>
      <w:jc w:val="left"/>
    </w:pPr>
    <w:rPr>
      <w:rFonts w:asciiTheme="minorHAnsi" w:hAnsiTheme="minorHAnsi" w:cstheme="minorHAnsi"/>
      <w:sz w:val="20"/>
      <w:szCs w:val="20"/>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520E39"/>
    <w:rPr>
      <w:color w:val="800080" w:themeColor="followedHyperlink"/>
      <w:u w:val="single"/>
    </w:rPr>
  </w:style>
  <w:style w:type="character" w:styleId="UnresolvedMention">
    <w:name w:val="Unresolved Mention"/>
    <w:basedOn w:val="DefaultParagraphFont"/>
    <w:uiPriority w:val="99"/>
    <w:semiHidden/>
    <w:unhideWhenUsed/>
    <w:rsid w:val="00095606"/>
    <w:rPr>
      <w:color w:val="605E5C"/>
      <w:shd w:val="clear" w:color="auto" w:fill="E1DFDD"/>
    </w:rPr>
  </w:style>
  <w:style w:type="paragraph" w:styleId="TOC4">
    <w:name w:val="toc 4"/>
    <w:basedOn w:val="Normal"/>
    <w:next w:val="Normal"/>
    <w:autoRedefine/>
    <w:uiPriority w:val="39"/>
    <w:semiHidden/>
    <w:unhideWhenUsed/>
    <w:rsid w:val="00DD7EC1"/>
    <w:pPr>
      <w:spacing w:after="0"/>
      <w:ind w:left="66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D7EC1"/>
    <w:pPr>
      <w:spacing w:after="0"/>
      <w:ind w:left="88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D7EC1"/>
    <w:pPr>
      <w:spacing w:after="0"/>
      <w:ind w:left="11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D7EC1"/>
    <w:pPr>
      <w:spacing w:after="0"/>
      <w:ind w:left="132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D7EC1"/>
    <w:pPr>
      <w:spacing w:after="0"/>
      <w:ind w:left="154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D7EC1"/>
    <w:pPr>
      <w:spacing w:after="0"/>
      <w:ind w:left="1760"/>
      <w:jc w:val="left"/>
    </w:pPr>
    <w:rPr>
      <w:rFonts w:asciiTheme="minorHAnsi" w:hAnsiTheme="minorHAnsi" w:cstheme="minorHAnsi"/>
      <w:sz w:val="20"/>
      <w:szCs w:val="20"/>
    </w:rPr>
  </w:style>
  <w:style w:type="paragraph" w:customStyle="1" w:styleId="BulletList3">
    <w:name w:val="Bullet List 3"/>
    <w:aliases w:val="Bullet3"/>
    <w:basedOn w:val="Normal"/>
    <w:rsid w:val="00AA72A3"/>
    <w:pPr>
      <w:numPr>
        <w:numId w:val="41"/>
      </w:numPr>
      <w:suppressAutoHyphens/>
      <w:spacing w:after="240" w:line="240" w:lineRule="auto"/>
      <w:ind w:leftChars="-1" w:left="-1" w:hangingChars="1" w:hanging="1"/>
      <w:textDirection w:val="btLr"/>
      <w:textAlignment w:val="top"/>
      <w:outlineLvl w:val="0"/>
    </w:pPr>
    <w:rPr>
      <w:rFonts w:ascii="Arial" w:eastAsia="Arial Unicode MS" w:hAnsi="Arial" w:cs="Arial"/>
      <w:color w:val="000000"/>
      <w:spacing w:val="0"/>
      <w:position w:val="-1"/>
      <w:sz w:val="24"/>
      <w:szCs w:val="20"/>
      <w:lang w:bidi="he-IL"/>
    </w:rPr>
  </w:style>
  <w:style w:type="paragraph" w:styleId="Revision">
    <w:name w:val="Revision"/>
    <w:hidden/>
    <w:uiPriority w:val="99"/>
    <w:semiHidden/>
    <w:rsid w:val="00744D54"/>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4811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ncil@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cil@mailman.egi.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o.egi.eu/glossary" TargetMode="External"/><Relationship Id="rId4" Type="http://schemas.openxmlformats.org/officeDocument/2006/relationships/settings" Target="settings.xml"/><Relationship Id="rId9" Type="http://schemas.openxmlformats.org/officeDocument/2006/relationships/hyperlink" Target="https://documents.egi.eu/document/112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4BF7A-B974-4C70-85E7-D13F215E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5</cp:revision>
  <cp:lastPrinted>2021-03-23T16:34:00Z</cp:lastPrinted>
  <dcterms:created xsi:type="dcterms:W3CDTF">2023-11-14T17:04:00Z</dcterms:created>
  <dcterms:modified xsi:type="dcterms:W3CDTF">2024-07-10T10:07:00Z</dcterms:modified>
</cp:coreProperties>
</file>