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i w:val="1"/>
          <w:color w:val="444499"/>
          <w:sz w:val="20"/>
          <w:szCs w:val="20"/>
        </w:rPr>
      </w:pPr>
      <w:r w:rsidDel="00000000" w:rsidR="00000000" w:rsidRPr="00000000">
        <w:rPr/>
        <w:drawing>
          <wp:inline distB="114300" distT="114300" distL="114300" distR="114300">
            <wp:extent cx="2271713" cy="1748453"/>
            <wp:effectExtent b="0" l="0" r="0" t="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271713" cy="174845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Title"/>
        <w:ind w:left="0" w:firstLine="0"/>
        <w:rPr/>
      </w:pPr>
      <w:bookmarkStart w:colFirst="0" w:colLast="0" w:name="_heading=h.30j0zll" w:id="0"/>
      <w:bookmarkEnd w:id="0"/>
      <w:r w:rsidDel="00000000" w:rsidR="00000000" w:rsidRPr="00000000">
        <w:rPr>
          <w:rtl w:val="0"/>
        </w:rPr>
        <w:t xml:space="preserve">D2.7 EOSC and ‘AI on Demand’ liaison and integration updated plan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30 January 2025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0" w:firstLine="0"/>
        <w:rPr>
          <w:color w:val="0660aa"/>
          <w:sz w:val="28"/>
          <w:szCs w:val="28"/>
        </w:rPr>
      </w:pPr>
      <w:r w:rsidDel="00000000" w:rsidR="00000000" w:rsidRPr="00000000">
        <w:rPr>
          <w:color w:val="0660aa"/>
          <w:sz w:val="28"/>
          <w:szCs w:val="28"/>
          <w:rtl w:val="0"/>
        </w:rPr>
        <w:t xml:space="preserve">Abstract</w:t>
      </w:r>
    </w:p>
    <w:p w:rsidR="00000000" w:rsidDel="00000000" w:rsidP="00000000" w:rsidRDefault="00000000" w:rsidRPr="00000000" w14:paraId="0000000C">
      <w:pPr>
        <w:ind w:left="0" w:firstLine="0"/>
        <w:rPr/>
      </w:pPr>
      <w:r w:rsidDel="00000000" w:rsidR="00000000" w:rsidRPr="00000000">
        <w:rPr>
          <w:rtl w:val="0"/>
        </w:rPr>
        <w:t xml:space="preserve">The European Open Science Cloud (EOSC) and the AI on Demand (AIoD) are two large scale initiatives in Europe that are relevant for the scope of iMagine. EOSC provides a distributed environment where researchers, innovators, companies and citizens can publish, find, share and re-use data, tools, and services for research, innovation,  education purposes. AIoD seeks to act as a resource to facilitate European research and innovation in AI. This deliverable provides an updated overview of these two initiatives, details the project assets registered or integrated within the EOSC and the AIoD platform, and outlines the plans for future integration to further enhance collaboration and interoperability.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color w:val="0660aa"/>
          <w:sz w:val="40"/>
          <w:szCs w:val="40"/>
          <w:rtl w:val="0"/>
        </w:rPr>
        <w:t xml:space="preserve">Document Description</w:t>
      </w:r>
      <w:r w:rsidDel="00000000" w:rsidR="00000000" w:rsidRPr="00000000">
        <w:rPr>
          <w:rtl w:val="0"/>
        </w:rPr>
      </w:r>
    </w:p>
    <w:tbl>
      <w:tblPr>
        <w:tblStyle w:val="Table1"/>
        <w:tblW w:w="9750.0" w:type="dxa"/>
        <w:jc w:val="left"/>
        <w:tblInd w:w="-115.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385"/>
        <w:gridCol w:w="2385"/>
        <w:gridCol w:w="2490"/>
        <w:gridCol w:w="2490"/>
        <w:tblGridChange w:id="0">
          <w:tblGrid>
            <w:gridCol w:w="2385"/>
            <w:gridCol w:w="2385"/>
            <w:gridCol w:w="2490"/>
            <w:gridCol w:w="2490"/>
          </w:tblGrid>
        </w:tblGridChange>
      </w:tblGrid>
      <w:tr>
        <w:trPr>
          <w:cantSplit w:val="0"/>
          <w:trHeight w:val="220" w:hRule="atLeast"/>
          <w:tblHeader w:val="0"/>
        </w:trPr>
        <w:tc>
          <w:tcPr>
            <w:gridSpan w:val="4"/>
            <w:shd w:fill="0087cb" w:val="clear"/>
          </w:tcPr>
          <w:p w:rsidR="00000000" w:rsidDel="00000000" w:rsidP="00000000" w:rsidRDefault="00000000" w:rsidRPr="00000000" w14:paraId="00000011">
            <w:pPr>
              <w:spacing w:line="240" w:lineRule="auto"/>
              <w:jc w:val="both"/>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D2.7 EOSC and AIoD liaison and integration updated plan</w:t>
            </w:r>
          </w:p>
        </w:tc>
      </w:tr>
      <w:tr>
        <w:trPr>
          <w:cantSplit w:val="0"/>
          <w:trHeight w:val="220" w:hRule="atLeast"/>
          <w:tblHeader w:val="0"/>
        </w:trPr>
        <w:tc>
          <w:tcPr>
            <w:gridSpan w:val="4"/>
            <w:shd w:fill="ffffff" w:val="clear"/>
          </w:tcPr>
          <w:p w:rsidR="00000000" w:rsidDel="00000000" w:rsidP="00000000" w:rsidRDefault="00000000" w:rsidRPr="00000000" w14:paraId="00000015">
            <w:pPr>
              <w:rPr/>
            </w:pPr>
            <w:r w:rsidDel="00000000" w:rsidR="00000000" w:rsidRPr="00000000">
              <w:rPr>
                <w:rtl w:val="0"/>
              </w:rPr>
              <w:t xml:space="preserve">WP2</w:t>
            </w:r>
          </w:p>
        </w:tc>
      </w:tr>
      <w:tr>
        <w:trPr>
          <w:cantSplit w:val="0"/>
          <w:tblHeader w:val="0"/>
        </w:trPr>
        <w:tc>
          <w:tcPr>
            <w:shd w:fill="d1f0ff" w:val="clear"/>
          </w:tcPr>
          <w:p w:rsidR="00000000" w:rsidDel="00000000" w:rsidP="00000000" w:rsidRDefault="00000000" w:rsidRPr="00000000" w14:paraId="00000019">
            <w:pPr>
              <w:spacing w:line="240" w:lineRule="auto"/>
              <w:ind w:left="0" w:firstLine="0"/>
              <w:jc w:val="left"/>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Due date</w:t>
            </w:r>
          </w:p>
        </w:tc>
        <w:tc>
          <w:tcPr>
            <w:shd w:fill="d1f0ff" w:val="clear"/>
          </w:tcPr>
          <w:p w:rsidR="00000000" w:rsidDel="00000000" w:rsidP="00000000" w:rsidRDefault="00000000" w:rsidRPr="00000000" w14:paraId="0000001A">
            <w:pPr>
              <w:spacing w:line="240" w:lineRule="auto"/>
              <w:jc w:val="both"/>
              <w:rPr>
                <w:rFonts w:ascii="DM Sans" w:cs="DM Sans" w:eastAsia="DM Sans" w:hAnsi="DM Sans"/>
                <w:color w:val="434343"/>
                <w:sz w:val="22"/>
                <w:szCs w:val="22"/>
              </w:rPr>
            </w:pPr>
            <w:r w:rsidDel="00000000" w:rsidR="00000000" w:rsidRPr="00000000">
              <w:rPr>
                <w:rtl w:val="0"/>
              </w:rPr>
              <w:t xml:space="preserve">31/01/2025</w:t>
            </w:r>
            <w:r w:rsidDel="00000000" w:rsidR="00000000" w:rsidRPr="00000000">
              <w:rPr>
                <w:rtl w:val="0"/>
              </w:rPr>
            </w:r>
          </w:p>
        </w:tc>
        <w:tc>
          <w:tcPr>
            <w:shd w:fill="d1f0ff" w:val="clear"/>
          </w:tcPr>
          <w:p w:rsidR="00000000" w:rsidDel="00000000" w:rsidP="00000000" w:rsidRDefault="00000000" w:rsidRPr="00000000" w14:paraId="0000001B">
            <w:pPr>
              <w:ind w:left="0" w:firstLine="0"/>
              <w:jc w:val="left"/>
              <w:rPr/>
            </w:pPr>
            <w:r w:rsidDel="00000000" w:rsidR="00000000" w:rsidRPr="00000000">
              <w:rPr>
                <w:rtl w:val="0"/>
              </w:rPr>
              <w:t xml:space="preserve">Actual delivery date: </w:t>
            </w:r>
          </w:p>
        </w:tc>
        <w:tc>
          <w:tcPr>
            <w:shd w:fill="d1f0ff" w:val="clear"/>
          </w:tcPr>
          <w:p w:rsidR="00000000" w:rsidDel="00000000" w:rsidP="00000000" w:rsidRDefault="00000000" w:rsidRPr="00000000" w14:paraId="0000001C">
            <w:pPr>
              <w:rPr/>
            </w:pPr>
            <w:r w:rsidDel="00000000" w:rsidR="00000000" w:rsidRPr="00000000">
              <w:rPr>
                <w:rtl w:val="0"/>
              </w:rPr>
              <w:t xml:space="preserve">30/01/2025</w:t>
            </w:r>
          </w:p>
        </w:tc>
      </w:tr>
      <w:tr>
        <w:trPr>
          <w:cantSplit w:val="0"/>
          <w:tblHeader w:val="0"/>
        </w:trPr>
        <w:tc>
          <w:tcPr>
            <w:shd w:fill="ffffff" w:val="clear"/>
          </w:tcPr>
          <w:p w:rsidR="00000000" w:rsidDel="00000000" w:rsidP="00000000" w:rsidRDefault="00000000" w:rsidRPr="00000000" w14:paraId="0000001D">
            <w:pPr>
              <w:spacing w:line="240" w:lineRule="auto"/>
              <w:ind w:left="0" w:firstLine="0"/>
              <w:jc w:val="left"/>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Nature of document</w:t>
            </w:r>
          </w:p>
        </w:tc>
        <w:tc>
          <w:tcPr>
            <w:shd w:fill="ffffff" w:val="clear"/>
          </w:tcPr>
          <w:p w:rsidR="00000000" w:rsidDel="00000000" w:rsidP="00000000" w:rsidRDefault="00000000" w:rsidRPr="00000000" w14:paraId="0000001E">
            <w:pPr>
              <w:spacing w:line="240" w:lineRule="auto"/>
              <w:ind w:left="0" w:firstLine="0"/>
              <w:jc w:val="both"/>
              <w:rPr>
                <w:rFonts w:ascii="DM Sans" w:cs="DM Sans" w:eastAsia="DM Sans" w:hAnsi="DM Sans"/>
                <w:color w:val="434343"/>
                <w:sz w:val="22"/>
                <w:szCs w:val="22"/>
              </w:rPr>
            </w:pPr>
            <w:r w:rsidDel="00000000" w:rsidR="00000000" w:rsidRPr="00000000">
              <w:rPr>
                <w:rFonts w:ascii="DM Sans" w:cs="DM Sans" w:eastAsia="DM Sans" w:hAnsi="DM Sans"/>
                <w:color w:val="434343"/>
                <w:sz w:val="22"/>
                <w:szCs w:val="22"/>
                <w:rtl w:val="0"/>
              </w:rPr>
              <w:t xml:space="preserve">Report</w:t>
            </w:r>
          </w:p>
        </w:tc>
        <w:tc>
          <w:tcPr>
            <w:shd w:fill="ffffff" w:val="clear"/>
          </w:tcPr>
          <w:p w:rsidR="00000000" w:rsidDel="00000000" w:rsidP="00000000" w:rsidRDefault="00000000" w:rsidRPr="00000000" w14:paraId="0000001F">
            <w:pPr>
              <w:rPr/>
            </w:pPr>
            <w:r w:rsidDel="00000000" w:rsidR="00000000" w:rsidRPr="00000000">
              <w:rPr>
                <w:rtl w:val="0"/>
              </w:rPr>
              <w:t xml:space="preserve">Version</w:t>
            </w:r>
          </w:p>
        </w:tc>
        <w:tc>
          <w:tcPr>
            <w:shd w:fill="ffffff" w:val="clear"/>
          </w:tcPr>
          <w:p w:rsidR="00000000" w:rsidDel="00000000" w:rsidP="00000000" w:rsidRDefault="00000000" w:rsidRPr="00000000" w14:paraId="00000020">
            <w:pPr>
              <w:rPr/>
            </w:pPr>
            <w:r w:rsidDel="00000000" w:rsidR="00000000" w:rsidRPr="00000000">
              <w:rPr>
                <w:rtl w:val="0"/>
              </w:rPr>
              <w:t xml:space="preserve">1.0</w:t>
            </w:r>
          </w:p>
        </w:tc>
      </w:tr>
      <w:tr>
        <w:trPr>
          <w:cantSplit w:val="0"/>
          <w:trHeight w:val="220" w:hRule="atLeast"/>
          <w:tblHeader w:val="0"/>
        </w:trPr>
        <w:tc>
          <w:tcPr>
            <w:shd w:fill="d1f0ff" w:val="clear"/>
          </w:tcPr>
          <w:p w:rsidR="00000000" w:rsidDel="00000000" w:rsidP="00000000" w:rsidRDefault="00000000" w:rsidRPr="00000000" w14:paraId="00000021">
            <w:pPr>
              <w:spacing w:line="240" w:lineRule="auto"/>
              <w:ind w:left="0" w:firstLine="0"/>
              <w:jc w:val="left"/>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Dissemination level</w:t>
            </w:r>
          </w:p>
        </w:tc>
        <w:tc>
          <w:tcPr>
            <w:gridSpan w:val="3"/>
            <w:shd w:fill="d1f0ff" w:val="clear"/>
          </w:tcPr>
          <w:p w:rsidR="00000000" w:rsidDel="00000000" w:rsidP="00000000" w:rsidRDefault="00000000" w:rsidRPr="00000000" w14:paraId="00000022">
            <w:pPr>
              <w:spacing w:line="240" w:lineRule="auto"/>
              <w:ind w:left="0" w:firstLine="0"/>
              <w:jc w:val="both"/>
              <w:rPr>
                <w:rFonts w:ascii="DM Sans" w:cs="DM Sans" w:eastAsia="DM Sans" w:hAnsi="DM Sans"/>
                <w:color w:val="434343"/>
                <w:sz w:val="22"/>
                <w:szCs w:val="22"/>
              </w:rPr>
            </w:pPr>
            <w:r w:rsidDel="00000000" w:rsidR="00000000" w:rsidRPr="00000000">
              <w:rPr>
                <w:rFonts w:ascii="DM Sans" w:cs="DM Sans" w:eastAsia="DM Sans" w:hAnsi="DM Sans"/>
                <w:color w:val="434343"/>
                <w:sz w:val="22"/>
                <w:szCs w:val="22"/>
                <w:rtl w:val="0"/>
              </w:rPr>
              <w:t xml:space="preserve">Public</w:t>
            </w:r>
          </w:p>
        </w:tc>
      </w:tr>
      <w:tr>
        <w:trPr>
          <w:cantSplit w:val="0"/>
          <w:trHeight w:val="220" w:hRule="atLeast"/>
          <w:tblHeader w:val="0"/>
        </w:trPr>
        <w:tc>
          <w:tcPr>
            <w:shd w:fill="ffffff" w:val="clear"/>
          </w:tcPr>
          <w:p w:rsidR="00000000" w:rsidDel="00000000" w:rsidP="00000000" w:rsidRDefault="00000000" w:rsidRPr="00000000" w14:paraId="00000025">
            <w:pPr>
              <w:spacing w:line="240" w:lineRule="auto"/>
              <w:ind w:left="0" w:firstLine="0"/>
              <w:jc w:val="left"/>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Lead Partner </w:t>
            </w:r>
          </w:p>
        </w:tc>
        <w:tc>
          <w:tcPr>
            <w:gridSpan w:val="3"/>
            <w:shd w:fill="ffffff" w:val="clear"/>
          </w:tcPr>
          <w:p w:rsidR="00000000" w:rsidDel="00000000" w:rsidP="00000000" w:rsidRDefault="00000000" w:rsidRPr="00000000" w14:paraId="00000026">
            <w:pPr>
              <w:spacing w:line="240" w:lineRule="auto"/>
              <w:ind w:left="0" w:firstLine="0"/>
              <w:jc w:val="both"/>
              <w:rPr>
                <w:rFonts w:ascii="DM Sans" w:cs="DM Sans" w:eastAsia="DM Sans" w:hAnsi="DM Sans"/>
                <w:color w:val="434343"/>
                <w:sz w:val="22"/>
                <w:szCs w:val="22"/>
              </w:rPr>
            </w:pPr>
            <w:r w:rsidDel="00000000" w:rsidR="00000000" w:rsidRPr="00000000">
              <w:rPr>
                <w:rtl w:val="0"/>
              </w:rPr>
              <w:t xml:space="preserve">EGI Foundation</w:t>
            </w:r>
            <w:r w:rsidDel="00000000" w:rsidR="00000000" w:rsidRPr="00000000">
              <w:rPr>
                <w:rtl w:val="0"/>
              </w:rPr>
            </w:r>
          </w:p>
        </w:tc>
      </w:tr>
      <w:tr>
        <w:trPr>
          <w:cantSplit w:val="0"/>
          <w:trHeight w:val="220" w:hRule="atLeast"/>
          <w:tblHeader w:val="0"/>
        </w:trPr>
        <w:tc>
          <w:tcPr>
            <w:shd w:fill="d1f0ff" w:val="clear"/>
          </w:tcPr>
          <w:p w:rsidR="00000000" w:rsidDel="00000000" w:rsidP="00000000" w:rsidRDefault="00000000" w:rsidRPr="00000000" w14:paraId="00000029">
            <w:pPr>
              <w:spacing w:line="240" w:lineRule="auto"/>
              <w:ind w:left="0" w:firstLine="0"/>
              <w:jc w:val="left"/>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Authors</w:t>
            </w:r>
          </w:p>
        </w:tc>
        <w:tc>
          <w:tcPr>
            <w:gridSpan w:val="3"/>
            <w:shd w:fill="d1f0ff" w:val="clear"/>
          </w:tcPr>
          <w:p w:rsidR="00000000" w:rsidDel="00000000" w:rsidP="00000000" w:rsidRDefault="00000000" w:rsidRPr="00000000" w14:paraId="0000002A">
            <w:pPr>
              <w:spacing w:line="240" w:lineRule="auto"/>
              <w:ind w:left="0" w:firstLine="0"/>
              <w:jc w:val="both"/>
              <w:rPr/>
            </w:pPr>
            <w:r w:rsidDel="00000000" w:rsidR="00000000" w:rsidRPr="00000000">
              <w:rPr>
                <w:rtl w:val="0"/>
              </w:rPr>
              <w:t xml:space="preserve">Marco Rorro (EGI Foundation)</w:t>
            </w:r>
          </w:p>
          <w:p w:rsidR="00000000" w:rsidDel="00000000" w:rsidP="00000000" w:rsidRDefault="00000000" w:rsidRPr="00000000" w14:paraId="0000002B">
            <w:pPr>
              <w:spacing w:line="240" w:lineRule="auto"/>
              <w:ind w:left="0" w:firstLine="0"/>
              <w:jc w:val="both"/>
              <w:rPr/>
            </w:pPr>
            <w:r w:rsidDel="00000000" w:rsidR="00000000" w:rsidRPr="00000000">
              <w:rPr>
                <w:rtl w:val="0"/>
              </w:rPr>
              <w:t xml:space="preserve">Smitesh Jain (EGI Foundation)</w:t>
            </w:r>
          </w:p>
        </w:tc>
      </w:tr>
      <w:tr>
        <w:trPr>
          <w:cantSplit w:val="0"/>
          <w:trHeight w:val="220" w:hRule="atLeast"/>
          <w:tblHeader w:val="0"/>
        </w:trPr>
        <w:tc>
          <w:tcPr>
            <w:shd w:fill="ffffff" w:val="clear"/>
          </w:tcPr>
          <w:p w:rsidR="00000000" w:rsidDel="00000000" w:rsidP="00000000" w:rsidRDefault="00000000" w:rsidRPr="00000000" w14:paraId="0000002E">
            <w:pPr>
              <w:spacing w:line="240" w:lineRule="auto"/>
              <w:ind w:left="0" w:firstLine="0"/>
              <w:jc w:val="left"/>
              <w:rPr>
                <w:rFonts w:ascii="DM Sans" w:cs="DM Sans" w:eastAsia="DM Sans" w:hAnsi="DM Sans"/>
                <w:b w:val="0"/>
                <w:color w:val="434343"/>
                <w:sz w:val="22"/>
                <w:szCs w:val="22"/>
              </w:rPr>
            </w:pPr>
            <w:r w:rsidDel="00000000" w:rsidR="00000000" w:rsidRPr="00000000">
              <w:rPr>
                <w:rFonts w:ascii="DM Sans" w:cs="DM Sans" w:eastAsia="DM Sans" w:hAnsi="DM Sans"/>
                <w:b w:val="0"/>
                <w:color w:val="434343"/>
                <w:sz w:val="22"/>
                <w:szCs w:val="22"/>
                <w:rtl w:val="0"/>
              </w:rPr>
              <w:t xml:space="preserve">Reviewer</w:t>
            </w:r>
          </w:p>
        </w:tc>
        <w:tc>
          <w:tcPr>
            <w:gridSpan w:val="3"/>
            <w:shd w:fill="ffffff" w:val="clear"/>
          </w:tcPr>
          <w:p w:rsidR="00000000" w:rsidDel="00000000" w:rsidP="00000000" w:rsidRDefault="00000000" w:rsidRPr="00000000" w14:paraId="0000002F">
            <w:pPr>
              <w:ind w:firstLine="0"/>
              <w:rPr>
                <w:rFonts w:ascii="DM Sans" w:cs="DM Sans" w:eastAsia="DM Sans" w:hAnsi="DM Sans"/>
                <w:color w:val="434343"/>
                <w:sz w:val="22"/>
                <w:szCs w:val="22"/>
              </w:rPr>
            </w:pPr>
            <w:r w:rsidDel="00000000" w:rsidR="00000000" w:rsidRPr="00000000">
              <w:rPr>
                <w:rtl w:val="0"/>
              </w:rPr>
              <w:t xml:space="preserve">Gergely Sipos (EGI Foundation)</w:t>
            </w:r>
            <w:r w:rsidDel="00000000" w:rsidR="00000000" w:rsidRPr="00000000">
              <w:rPr>
                <w:rtl w:val="0"/>
              </w:rPr>
            </w:r>
          </w:p>
        </w:tc>
      </w:tr>
      <w:tr>
        <w:trPr>
          <w:cantSplit w:val="0"/>
          <w:trHeight w:val="220" w:hRule="atLeast"/>
          <w:tblHeader w:val="0"/>
        </w:trPr>
        <w:tc>
          <w:tcPr>
            <w:shd w:fill="d1f0ff"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sz w:val="22"/>
                <w:szCs w:val="22"/>
              </w:rPr>
            </w:pPr>
            <w:r w:rsidDel="00000000" w:rsidR="00000000" w:rsidRPr="00000000">
              <w:rPr>
                <w:b w:val="0"/>
                <w:sz w:val="22"/>
                <w:szCs w:val="22"/>
                <w:rtl w:val="0"/>
              </w:rPr>
              <w:t xml:space="preserve">Public link</w:t>
            </w:r>
          </w:p>
        </w:tc>
        <w:tc>
          <w:tcPr>
            <w:gridSpan w:val="3"/>
            <w:shd w:fill="d1f0ff"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9900"/>
                <w:sz w:val="22"/>
                <w:szCs w:val="22"/>
              </w:rPr>
            </w:pPr>
            <w:hyperlink r:id="rId9">
              <w:r w:rsidDel="00000000" w:rsidR="00000000" w:rsidRPr="00000000">
                <w:rPr>
                  <w:b w:val="1"/>
                  <w:color w:val="ff9900"/>
                  <w:u w:val="single"/>
                  <w:rtl w:val="0"/>
                </w:rPr>
                <w:t xml:space="preserve">https://zenodo.org/records/14756503</w:t>
              </w:r>
            </w:hyperlink>
            <w:r w:rsidDel="00000000" w:rsidR="00000000" w:rsidRPr="00000000">
              <w:rPr>
                <w:rtl w:val="0"/>
              </w:rPr>
            </w:r>
          </w:p>
        </w:tc>
      </w:tr>
      <w:tr>
        <w:trPr>
          <w:cantSplit w:val="0"/>
          <w:trHeight w:val="220" w:hRule="atLeast"/>
          <w:tblHeader w:val="0"/>
        </w:trPr>
        <w:tc>
          <w:tcPr>
            <w:shd w:fill="ffffff"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color w:val="434343"/>
              </w:rPr>
            </w:pPr>
            <w:r w:rsidDel="00000000" w:rsidR="00000000" w:rsidRPr="00000000">
              <w:rPr>
                <w:b w:val="0"/>
                <w:color w:val="434343"/>
                <w:rtl w:val="0"/>
              </w:rPr>
              <w:t xml:space="preserve">Keywords</w:t>
            </w:r>
          </w:p>
        </w:tc>
        <w:tc>
          <w:tcPr>
            <w:gridSpan w:val="3"/>
            <w:shd w:fill="ffffff"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34343"/>
              </w:rPr>
            </w:pPr>
            <w:r w:rsidDel="00000000" w:rsidR="00000000" w:rsidRPr="00000000">
              <w:rPr>
                <w:color w:val="434343"/>
                <w:rtl w:val="0"/>
              </w:rPr>
              <w:t xml:space="preserve">Aquatic, Marine, EOSC, AIoD, AI4EU, AI4Europe, Integration, Plan</w:t>
            </w:r>
          </w:p>
        </w:tc>
      </w:tr>
    </w:tbl>
    <w:p w:rsidR="00000000" w:rsidDel="00000000" w:rsidP="00000000" w:rsidRDefault="00000000" w:rsidRPr="00000000" w14:paraId="0000003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pStyle w:val="Subtitle"/>
        <w:ind w:left="0" w:firstLine="0"/>
        <w:rPr/>
      </w:pPr>
      <w:bookmarkStart w:colFirst="0" w:colLast="0" w:name="_heading=h.1fob9te" w:id="1"/>
      <w:bookmarkEnd w:id="1"/>
      <w:r w:rsidDel="00000000" w:rsidR="00000000" w:rsidRPr="00000000">
        <w:rPr>
          <w:rtl w:val="0"/>
        </w:rPr>
        <w:t xml:space="preserve">Revision History</w:t>
      </w:r>
    </w:p>
    <w:tbl>
      <w:tblPr>
        <w:tblStyle w:val="Table2"/>
        <w:tblW w:w="9630.0" w:type="dxa"/>
        <w:jc w:val="left"/>
        <w:tblInd w:w="-115.0" w:type="dxa"/>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975"/>
        <w:gridCol w:w="3306.666666666667"/>
        <w:gridCol w:w="5348.333333333334"/>
        <w:tblGridChange w:id="0">
          <w:tblGrid>
            <w:gridCol w:w="975"/>
            <w:gridCol w:w="3306.666666666667"/>
            <w:gridCol w:w="5348.333333333334"/>
          </w:tblGrid>
        </w:tblGridChange>
      </w:tblGrid>
      <w:tr>
        <w:trPr>
          <w:cantSplit w:val="0"/>
          <w:tblHeader w:val="0"/>
        </w:trPr>
        <w:tc>
          <w:tcPr>
            <w:shd w:fill="0087cb" w:val="clear"/>
          </w:tcPr>
          <w:p w:rsidR="00000000" w:rsidDel="00000000" w:rsidP="00000000" w:rsidRDefault="00000000" w:rsidRPr="00000000" w14:paraId="0000003D">
            <w:pPr>
              <w:ind w:left="0" w:firstLine="0"/>
              <w:jc w:val="center"/>
              <w:rPr>
                <w:rFonts w:ascii="DM Sans" w:cs="DM Sans" w:eastAsia="DM Sans" w:hAnsi="DM Sans"/>
              </w:rPr>
            </w:pPr>
            <w:r w:rsidDel="00000000" w:rsidR="00000000" w:rsidRPr="00000000">
              <w:rPr>
                <w:rFonts w:ascii="DM Sans" w:cs="DM Sans" w:eastAsia="DM Sans" w:hAnsi="DM Sans"/>
                <w:rtl w:val="0"/>
              </w:rPr>
              <w:t xml:space="preserve">Issue</w:t>
            </w:r>
          </w:p>
        </w:tc>
        <w:tc>
          <w:tcPr>
            <w:shd w:fill="0087cb" w:val="clear"/>
          </w:tcPr>
          <w:p w:rsidR="00000000" w:rsidDel="00000000" w:rsidP="00000000" w:rsidRDefault="00000000" w:rsidRPr="00000000" w14:paraId="0000003E">
            <w:pPr>
              <w:ind w:left="0" w:firstLine="0"/>
              <w:jc w:val="center"/>
              <w:rPr>
                <w:rFonts w:ascii="DM Sans" w:cs="DM Sans" w:eastAsia="DM Sans" w:hAnsi="DM Sans"/>
              </w:rPr>
            </w:pPr>
            <w:r w:rsidDel="00000000" w:rsidR="00000000" w:rsidRPr="00000000">
              <w:rPr>
                <w:rFonts w:ascii="DM Sans" w:cs="DM Sans" w:eastAsia="DM Sans" w:hAnsi="DM Sans"/>
                <w:rtl w:val="0"/>
              </w:rPr>
              <w:t xml:space="preserve">Comments</w:t>
            </w:r>
          </w:p>
        </w:tc>
        <w:tc>
          <w:tcPr>
            <w:shd w:fill="0087cb" w:val="clear"/>
          </w:tcPr>
          <w:p w:rsidR="00000000" w:rsidDel="00000000" w:rsidP="00000000" w:rsidRDefault="00000000" w:rsidRPr="00000000" w14:paraId="0000003F">
            <w:pPr>
              <w:ind w:left="0" w:firstLine="0"/>
              <w:jc w:val="center"/>
              <w:rPr>
                <w:rFonts w:ascii="DM Sans" w:cs="DM Sans" w:eastAsia="DM Sans" w:hAnsi="DM Sans"/>
              </w:rPr>
            </w:pPr>
            <w:r w:rsidDel="00000000" w:rsidR="00000000" w:rsidRPr="00000000">
              <w:rPr>
                <w:rFonts w:ascii="DM Sans" w:cs="DM Sans" w:eastAsia="DM Sans" w:hAnsi="DM Sans"/>
                <w:rtl w:val="0"/>
              </w:rPr>
              <w:t xml:space="preserve">Author/Reviewer</w:t>
            </w:r>
          </w:p>
        </w:tc>
      </w:tr>
      <w:tr>
        <w:trPr>
          <w:cantSplit w:val="0"/>
          <w:tblHeader w:val="0"/>
        </w:trPr>
        <w:tc>
          <w:tcPr>
            <w:shd w:fill="ffffff" w:val="clear"/>
          </w:tcPr>
          <w:p w:rsidR="00000000" w:rsidDel="00000000" w:rsidP="00000000" w:rsidRDefault="00000000" w:rsidRPr="00000000" w14:paraId="00000040">
            <w:pPr>
              <w:ind w:firstLine="0"/>
              <w:rPr>
                <w:b w:val="0"/>
                <w:sz w:val="22"/>
                <w:szCs w:val="22"/>
              </w:rPr>
            </w:pPr>
            <w:r w:rsidDel="00000000" w:rsidR="00000000" w:rsidRPr="00000000">
              <w:rPr>
                <w:b w:val="0"/>
                <w:sz w:val="22"/>
                <w:szCs w:val="22"/>
                <w:rtl w:val="0"/>
              </w:rPr>
              <w:t xml:space="preserve">V 0.1</w:t>
            </w:r>
          </w:p>
        </w:tc>
        <w:tc>
          <w:tcPr>
            <w:shd w:fill="ffffff" w:val="clear"/>
          </w:tcPr>
          <w:p w:rsidR="00000000" w:rsidDel="00000000" w:rsidP="00000000" w:rsidRDefault="00000000" w:rsidRPr="00000000" w14:paraId="00000041">
            <w:pPr>
              <w:ind w:firstLine="0"/>
              <w:rPr/>
            </w:pPr>
            <w:r w:rsidDel="00000000" w:rsidR="00000000" w:rsidRPr="00000000">
              <w:rPr>
                <w:rtl w:val="0"/>
              </w:rPr>
              <w:t xml:space="preserve">Structure with initial text</w:t>
            </w:r>
          </w:p>
        </w:tc>
        <w:tc>
          <w:tcPr>
            <w:shd w:fill="ffffff" w:val="clear"/>
          </w:tcPr>
          <w:p w:rsidR="00000000" w:rsidDel="00000000" w:rsidP="00000000" w:rsidRDefault="00000000" w:rsidRPr="00000000" w14:paraId="00000042">
            <w:pPr>
              <w:ind w:firstLine="0"/>
              <w:rPr/>
            </w:pPr>
            <w:r w:rsidDel="00000000" w:rsidR="00000000" w:rsidRPr="00000000">
              <w:rPr>
                <w:rtl w:val="0"/>
              </w:rPr>
              <w:t xml:space="preserve">Gergely Sipos (EGI)</w:t>
            </w:r>
          </w:p>
        </w:tc>
      </w:tr>
      <w:tr>
        <w:trPr>
          <w:cantSplit w:val="0"/>
          <w:tblHeader w:val="0"/>
        </w:trPr>
        <w:tc>
          <w:tcPr>
            <w:shd w:fill="d1f0ff" w:val="clear"/>
          </w:tcPr>
          <w:p w:rsidR="00000000" w:rsidDel="00000000" w:rsidP="00000000" w:rsidRDefault="00000000" w:rsidRPr="00000000" w14:paraId="00000043">
            <w:pPr>
              <w:ind w:firstLine="0"/>
              <w:rPr>
                <w:b w:val="0"/>
                <w:sz w:val="22"/>
                <w:szCs w:val="22"/>
              </w:rPr>
            </w:pPr>
            <w:r w:rsidDel="00000000" w:rsidR="00000000" w:rsidRPr="00000000">
              <w:rPr>
                <w:b w:val="0"/>
                <w:sz w:val="22"/>
                <w:szCs w:val="22"/>
                <w:rtl w:val="0"/>
              </w:rPr>
              <w:t xml:space="preserve">V 0.2</w:t>
            </w:r>
          </w:p>
        </w:tc>
        <w:tc>
          <w:tcPr>
            <w:shd w:fill="d1f0ff" w:val="clear"/>
          </w:tcPr>
          <w:p w:rsidR="00000000" w:rsidDel="00000000" w:rsidP="00000000" w:rsidRDefault="00000000" w:rsidRPr="00000000" w14:paraId="00000044">
            <w:pPr>
              <w:ind w:firstLine="0"/>
              <w:rPr/>
            </w:pPr>
            <w:r w:rsidDel="00000000" w:rsidR="00000000" w:rsidRPr="00000000">
              <w:rPr>
                <w:rtl w:val="0"/>
              </w:rPr>
              <w:t xml:space="preserve">EOSC Integration</w:t>
            </w:r>
          </w:p>
          <w:p w:rsidR="00000000" w:rsidDel="00000000" w:rsidP="00000000" w:rsidRDefault="00000000" w:rsidRPr="00000000" w14:paraId="00000045">
            <w:pPr>
              <w:ind w:firstLine="0"/>
              <w:rPr/>
            </w:pPr>
            <w:r w:rsidDel="00000000" w:rsidR="00000000" w:rsidRPr="00000000">
              <w:rPr>
                <w:rtl w:val="0"/>
              </w:rPr>
              <w:t xml:space="preserve">AIoD Integration</w:t>
            </w:r>
          </w:p>
        </w:tc>
        <w:tc>
          <w:tcPr>
            <w:shd w:fill="d1f0ff" w:val="clear"/>
          </w:tcPr>
          <w:p w:rsidR="00000000" w:rsidDel="00000000" w:rsidP="00000000" w:rsidRDefault="00000000" w:rsidRPr="00000000" w14:paraId="00000046">
            <w:pPr>
              <w:ind w:firstLine="0"/>
              <w:rPr/>
            </w:pPr>
            <w:r w:rsidDel="00000000" w:rsidR="00000000" w:rsidRPr="00000000">
              <w:rPr>
                <w:rtl w:val="0"/>
              </w:rPr>
              <w:t xml:space="preserve">Smitesh Jain (EGI)</w:t>
            </w:r>
          </w:p>
          <w:p w:rsidR="00000000" w:rsidDel="00000000" w:rsidP="00000000" w:rsidRDefault="00000000" w:rsidRPr="00000000" w14:paraId="00000047">
            <w:pPr>
              <w:ind w:firstLine="0"/>
              <w:rPr/>
            </w:pPr>
            <w:r w:rsidDel="00000000" w:rsidR="00000000" w:rsidRPr="00000000">
              <w:rPr>
                <w:rtl w:val="0"/>
              </w:rPr>
              <w:t xml:space="preserve">Marco Rorro (EGI)</w:t>
            </w:r>
          </w:p>
        </w:tc>
      </w:tr>
      <w:tr>
        <w:trPr>
          <w:cantSplit w:val="0"/>
          <w:tblHeader w:val="0"/>
        </w:trPr>
        <w:tc>
          <w:tcPr>
            <w:shd w:fill="ffffff" w:val="clear"/>
          </w:tcPr>
          <w:p w:rsidR="00000000" w:rsidDel="00000000" w:rsidP="00000000" w:rsidRDefault="00000000" w:rsidRPr="00000000" w14:paraId="00000048">
            <w:pPr>
              <w:ind w:firstLine="0"/>
              <w:rPr>
                <w:b w:val="0"/>
                <w:sz w:val="22"/>
                <w:szCs w:val="22"/>
              </w:rPr>
            </w:pPr>
            <w:r w:rsidDel="00000000" w:rsidR="00000000" w:rsidRPr="00000000">
              <w:rPr>
                <w:b w:val="0"/>
                <w:sz w:val="22"/>
                <w:szCs w:val="22"/>
                <w:rtl w:val="0"/>
              </w:rPr>
              <w:t xml:space="preserve">V 0.</w:t>
            </w:r>
            <w:r w:rsidDel="00000000" w:rsidR="00000000" w:rsidRPr="00000000">
              <w:rPr>
                <w:b w:val="0"/>
                <w:rtl w:val="0"/>
              </w:rPr>
              <w:t xml:space="preserve">3</w:t>
            </w:r>
            <w:r w:rsidDel="00000000" w:rsidR="00000000" w:rsidRPr="00000000">
              <w:rPr>
                <w:rtl w:val="0"/>
              </w:rPr>
            </w:r>
          </w:p>
        </w:tc>
        <w:tc>
          <w:tcPr>
            <w:shd w:fill="ffffff" w:val="clear"/>
          </w:tcPr>
          <w:p w:rsidR="00000000" w:rsidDel="00000000" w:rsidP="00000000" w:rsidRDefault="00000000" w:rsidRPr="00000000" w14:paraId="00000049">
            <w:pPr>
              <w:ind w:firstLine="0"/>
              <w:rPr>
                <w:b w:val="0"/>
              </w:rPr>
            </w:pPr>
            <w:r w:rsidDel="00000000" w:rsidR="00000000" w:rsidRPr="00000000">
              <w:rPr>
                <w:rtl w:val="0"/>
              </w:rPr>
              <w:t xml:space="preserve">Full draft for review</w:t>
            </w:r>
            <w:r w:rsidDel="00000000" w:rsidR="00000000" w:rsidRPr="00000000">
              <w:rPr>
                <w:rtl w:val="0"/>
              </w:rPr>
            </w:r>
          </w:p>
        </w:tc>
        <w:tc>
          <w:tcPr>
            <w:shd w:fill="ffffff" w:val="clear"/>
          </w:tcPr>
          <w:p w:rsidR="00000000" w:rsidDel="00000000" w:rsidP="00000000" w:rsidRDefault="00000000" w:rsidRPr="00000000" w14:paraId="0000004A">
            <w:pPr>
              <w:ind w:firstLine="0"/>
              <w:rPr>
                <w:b w:val="0"/>
              </w:rPr>
            </w:pPr>
            <w:r w:rsidDel="00000000" w:rsidR="00000000" w:rsidRPr="00000000">
              <w:rPr>
                <w:rtl w:val="0"/>
              </w:rPr>
              <w:t xml:space="preserve">Marco Rorro (EGI)</w:t>
            </w:r>
            <w:r w:rsidDel="00000000" w:rsidR="00000000" w:rsidRPr="00000000">
              <w:rPr>
                <w:rtl w:val="0"/>
              </w:rPr>
            </w:r>
          </w:p>
        </w:tc>
      </w:tr>
      <w:tr>
        <w:trPr>
          <w:cantSplit w:val="0"/>
          <w:tblHeader w:val="0"/>
        </w:trPr>
        <w:tc>
          <w:tcPr>
            <w:shd w:fill="d1f0ff" w:val="clear"/>
          </w:tcPr>
          <w:p w:rsidR="00000000" w:rsidDel="00000000" w:rsidP="00000000" w:rsidRDefault="00000000" w:rsidRPr="00000000" w14:paraId="0000004B">
            <w:pPr>
              <w:ind w:firstLine="0"/>
              <w:rPr>
                <w:b w:val="0"/>
                <w:sz w:val="22"/>
                <w:szCs w:val="22"/>
              </w:rPr>
            </w:pPr>
            <w:r w:rsidDel="00000000" w:rsidR="00000000" w:rsidRPr="00000000">
              <w:rPr>
                <w:b w:val="0"/>
                <w:sz w:val="22"/>
                <w:szCs w:val="22"/>
                <w:rtl w:val="0"/>
              </w:rPr>
              <w:t xml:space="preserve">V 1.</w:t>
            </w:r>
            <w:r w:rsidDel="00000000" w:rsidR="00000000" w:rsidRPr="00000000">
              <w:rPr>
                <w:b w:val="0"/>
                <w:rtl w:val="0"/>
              </w:rPr>
              <w:t xml:space="preserve">0</w:t>
            </w:r>
            <w:r w:rsidDel="00000000" w:rsidR="00000000" w:rsidRPr="00000000">
              <w:rPr>
                <w:rtl w:val="0"/>
              </w:rPr>
            </w:r>
          </w:p>
        </w:tc>
        <w:tc>
          <w:tcPr>
            <w:shd w:fill="d1f0ff" w:val="clear"/>
          </w:tcPr>
          <w:p w:rsidR="00000000" w:rsidDel="00000000" w:rsidP="00000000" w:rsidRDefault="00000000" w:rsidRPr="00000000" w14:paraId="0000004C">
            <w:pPr>
              <w:ind w:firstLine="0"/>
              <w:rPr>
                <w:b w:val="0"/>
              </w:rPr>
            </w:pPr>
            <w:r w:rsidDel="00000000" w:rsidR="00000000" w:rsidRPr="00000000">
              <w:rPr>
                <w:rtl w:val="0"/>
              </w:rPr>
              <w:t xml:space="preserve">Updated version after review</w:t>
            </w:r>
            <w:r w:rsidDel="00000000" w:rsidR="00000000" w:rsidRPr="00000000">
              <w:rPr>
                <w:rtl w:val="0"/>
              </w:rPr>
            </w:r>
          </w:p>
        </w:tc>
        <w:tc>
          <w:tcPr>
            <w:shd w:fill="d1f0ff" w:val="clear"/>
          </w:tcPr>
          <w:p w:rsidR="00000000" w:rsidDel="00000000" w:rsidP="00000000" w:rsidRDefault="00000000" w:rsidRPr="00000000" w14:paraId="0000004D">
            <w:pPr>
              <w:ind w:firstLine="0"/>
              <w:rPr/>
            </w:pPr>
            <w:r w:rsidDel="00000000" w:rsidR="00000000" w:rsidRPr="00000000">
              <w:rPr>
                <w:rtl w:val="0"/>
              </w:rPr>
              <w:t xml:space="preserve">Gergely Sipos (EGI) / Martin Laviale (Uni. of Lorainne)</w:t>
            </w:r>
          </w:p>
        </w:tc>
      </w:tr>
    </w:tbl>
    <w:p w:rsidR="00000000" w:rsidDel="00000000" w:rsidP="00000000" w:rsidRDefault="00000000" w:rsidRPr="00000000" w14:paraId="0000004E">
      <w:pPr>
        <w:jc w:val="center"/>
        <w:rPr>
          <w:b w:val="0"/>
          <w:i w:val="1"/>
          <w:color w:val="444499"/>
          <w:sz w:val="20"/>
          <w:szCs w:val="20"/>
        </w:rPr>
      </w:pPr>
      <w:r w:rsidDel="00000000" w:rsidR="00000000" w:rsidRPr="00000000">
        <w:rPr>
          <w:b w:val="0"/>
          <w:i w:val="1"/>
          <w:color w:val="444499"/>
          <w:sz w:val="20"/>
          <w:szCs w:val="20"/>
          <w:rtl w:val="0"/>
        </w:rPr>
        <w:t xml:space="preserve"> </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ind w:left="0" w:firstLine="0"/>
        <w:jc w:val="both"/>
        <w:rPr/>
      </w:pPr>
      <w:r w:rsidDel="00000000" w:rsidR="00000000" w:rsidRPr="00000000">
        <w:rPr>
          <w:color w:val="666666"/>
          <w:sz w:val="30"/>
          <w:szCs w:val="30"/>
          <w:rtl w:val="0"/>
        </w:rPr>
        <w:t xml:space="preserve">Copyright and license info</w:t>
      </w:r>
      <w:r w:rsidDel="00000000" w:rsidR="00000000" w:rsidRPr="00000000">
        <w:rPr>
          <w:rtl w:val="0"/>
        </w:rPr>
      </w:r>
    </w:p>
    <w:p w:rsidR="00000000" w:rsidDel="00000000" w:rsidP="00000000" w:rsidRDefault="00000000" w:rsidRPr="00000000" w14:paraId="00000051">
      <w:pPr>
        <w:ind w:left="0" w:firstLine="0"/>
        <w:jc w:val="both"/>
        <w:rPr/>
      </w:pPr>
      <w:r w:rsidDel="00000000" w:rsidR="00000000" w:rsidRPr="00000000">
        <w:rPr>
          <w:sz w:val="22"/>
          <w:szCs w:val="22"/>
          <w:rtl w:val="0"/>
        </w:rPr>
        <w:t xml:space="preserve">This material by Parties of the iMagine Consortium is licensed under a </w:t>
      </w:r>
      <w:hyperlink r:id="rId10">
        <w:r w:rsidDel="00000000" w:rsidR="00000000" w:rsidRPr="00000000">
          <w:rPr>
            <w:color w:val="1155cc"/>
            <w:sz w:val="22"/>
            <w:szCs w:val="22"/>
            <w:u w:val="single"/>
            <w:rtl w:val="0"/>
          </w:rPr>
          <w:t xml:space="preserve">Creative Commons Attribution 4.0 International License</w:t>
        </w:r>
      </w:hyperlink>
      <w:r w:rsidDel="00000000" w:rsidR="00000000" w:rsidRPr="00000000">
        <w:rPr>
          <w:sz w:val="22"/>
          <w:szCs w:val="2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color w:val="0660aa"/>
          <w:sz w:val="40"/>
          <w:szCs w:val="40"/>
          <w:rtl w:val="0"/>
        </w:rPr>
        <w:t xml:space="preserve">Table of content</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3">
          <w:pPr>
            <w:widowControl w:val="0"/>
            <w:tabs>
              <w:tab w:val="right" w:leader="none" w:pos="12000"/>
            </w:tabs>
            <w:spacing w:before="60" w:line="240" w:lineRule="auto"/>
            <w:ind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6,6,"</w:instrText>
            <w:fldChar w:fldCharType="separate"/>
          </w:r>
          <w:hyperlink w:anchor="_heading=h.3znysh7">
            <w:r w:rsidDel="00000000" w:rsidR="00000000" w:rsidRPr="00000000">
              <w:rPr>
                <w:rFonts w:ascii="DM Sans" w:cs="DM Sans" w:eastAsia="DM Sans" w:hAnsi="DM Sans"/>
                <w:b w:val="1"/>
                <w:i w:val="0"/>
                <w:smallCaps w:val="0"/>
                <w:strike w:val="0"/>
                <w:color w:val="000000"/>
                <w:sz w:val="22"/>
                <w:szCs w:val="22"/>
                <w:u w:val="none"/>
                <w:shd w:fill="auto" w:val="clear"/>
                <w:vertAlign w:val="baseline"/>
                <w:rtl w:val="0"/>
              </w:rPr>
              <w:t xml:space="preserve">1 Introduction</w:t>
              <w:tab/>
              <w:t xml:space="preserve">4</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360"/>
            <w:jc w:val="left"/>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1.1 Introduction to EOSC and AIoD</w:t>
              <w:tab/>
              <w:t xml:space="preserve">4</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36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1.2 Liaisoning with EOSC and AIoD</w:t>
              <w:tab/>
              <w:t xml:space="preserve">5</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firstLine="0"/>
            <w:jc w:val="left"/>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DM Sans" w:cs="DM Sans" w:eastAsia="DM Sans" w:hAnsi="DM Sans"/>
                <w:b w:val="1"/>
                <w:i w:val="0"/>
                <w:smallCaps w:val="0"/>
                <w:strike w:val="0"/>
                <w:color w:val="000000"/>
                <w:sz w:val="22"/>
                <w:szCs w:val="22"/>
                <w:u w:val="none"/>
                <w:shd w:fill="auto" w:val="clear"/>
                <w:vertAlign w:val="baseline"/>
                <w:rtl w:val="0"/>
              </w:rPr>
              <w:t xml:space="preserve">2 EOSC liaison and integration plan</w:t>
              <w:tab/>
              <w:t xml:space="preserve">7</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jc w:val="left"/>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2.1 EOSC Overview</w:t>
              <w:tab/>
              <w:t xml:space="preserve">7</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s8eyo1">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2.1.1. EOSC EU Node</w:t>
              <w:tab/>
              <w:t xml:space="preserve">9</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360"/>
            <w:jc w:val="left"/>
            <w:rPr>
              <w:rFonts w:ascii="Arial" w:cs="Arial" w:eastAsia="Arial" w:hAnsi="Arial"/>
              <w:b w:val="0"/>
              <w:i w:val="0"/>
              <w:smallCaps w:val="0"/>
              <w:strike w:val="0"/>
              <w:color w:val="000000"/>
              <w:sz w:val="22"/>
              <w:szCs w:val="22"/>
              <w:u w:val="none"/>
              <w:shd w:fill="auto" w:val="clear"/>
              <w:vertAlign w:val="baseline"/>
            </w:rPr>
          </w:pPr>
          <w:hyperlink w:anchor="_heading=h.35nkun2">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2.2 EOSC Integration Status and Future Plans</w:t>
              <w:tab/>
              <w:t xml:space="preserve">11</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360"/>
            <w:jc w:val="left"/>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2.3 EOSC Liaison Plan</w:t>
              <w:tab/>
              <w:t xml:space="preserve">12</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firstLine="0"/>
            <w:jc w:val="left"/>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DM Sans" w:cs="DM Sans" w:eastAsia="DM Sans" w:hAnsi="DM Sans"/>
                <w:b w:val="1"/>
                <w:i w:val="0"/>
                <w:smallCaps w:val="0"/>
                <w:strike w:val="0"/>
                <w:color w:val="000000"/>
                <w:sz w:val="22"/>
                <w:szCs w:val="22"/>
                <w:u w:val="none"/>
                <w:shd w:fill="auto" w:val="clear"/>
                <w:vertAlign w:val="baseline"/>
                <w:rtl w:val="0"/>
              </w:rPr>
              <w:t xml:space="preserve">3 AIoD liaison and integration plan</w:t>
              <w:tab/>
              <w:t xml:space="preserve">13</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360"/>
            <w:jc w:val="left"/>
            <w:rPr>
              <w:rFonts w:ascii="Arial" w:cs="Arial" w:eastAsia="Arial" w:hAnsi="Arial"/>
              <w:b w:val="0"/>
              <w:i w:val="0"/>
              <w:smallCaps w:val="0"/>
              <w:strike w:val="0"/>
              <w:color w:val="000000"/>
              <w:sz w:val="22"/>
              <w:szCs w:val="22"/>
              <w:u w:val="none"/>
              <w:shd w:fill="auto" w:val="clear"/>
              <w:vertAlign w:val="baseline"/>
            </w:rPr>
          </w:pPr>
          <w:hyperlink w:anchor="_heading=h.2jxsxqh">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3.1 AIoD overview</w:t>
              <w:tab/>
              <w:t xml:space="preserve">13</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360"/>
            <w:jc w:val="left"/>
            <w:rPr>
              <w:rFonts w:ascii="Arial" w:cs="Arial" w:eastAsia="Arial" w:hAnsi="Arial"/>
              <w:b w:val="0"/>
              <w:i w:val="0"/>
              <w:smallCaps w:val="0"/>
              <w:strike w:val="0"/>
              <w:color w:val="000000"/>
              <w:sz w:val="22"/>
              <w:szCs w:val="22"/>
              <w:u w:val="none"/>
              <w:shd w:fill="auto" w:val="clear"/>
              <w:vertAlign w:val="baseline"/>
            </w:rPr>
          </w:pPr>
          <w:hyperlink w:anchor="_heading=h.1y810tw">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3.2 AIoD Integration Status and Future Plans</w:t>
              <w:tab/>
              <w:t xml:space="preserve">14</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360"/>
            <w:jc w:val="left"/>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DM Sans" w:cs="DM Sans" w:eastAsia="DM Sans" w:hAnsi="DM Sans"/>
                <w:b w:val="0"/>
                <w:i w:val="0"/>
                <w:smallCaps w:val="0"/>
                <w:strike w:val="0"/>
                <w:color w:val="000000"/>
                <w:sz w:val="22"/>
                <w:szCs w:val="22"/>
                <w:u w:val="none"/>
                <w:shd w:fill="auto" w:val="clear"/>
                <w:vertAlign w:val="baseline"/>
                <w:rtl w:val="0"/>
              </w:rPr>
              <w:t xml:space="preserve">3.3 AIoD Liaison Plan</w:t>
              <w:tab/>
              <w:t xml:space="preserve">16</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firstLine="0"/>
            <w:jc w:val="left"/>
            <w:rPr>
              <w:rFonts w:ascii="Arial" w:cs="Arial" w:eastAsia="Arial" w:hAnsi="Arial"/>
              <w:b w:val="1"/>
              <w:i w:val="0"/>
              <w:smallCaps w:val="0"/>
              <w:strike w:val="0"/>
              <w:color w:val="000000"/>
              <w:sz w:val="22"/>
              <w:szCs w:val="22"/>
              <w:u w:val="none"/>
              <w:shd w:fill="auto" w:val="clear"/>
              <w:vertAlign w:val="baseline"/>
            </w:rPr>
          </w:pPr>
          <w:hyperlink w:anchor="_heading=h.2xcytpi">
            <w:r w:rsidDel="00000000" w:rsidR="00000000" w:rsidRPr="00000000">
              <w:rPr>
                <w:rFonts w:ascii="DM Sans" w:cs="DM Sans" w:eastAsia="DM Sans" w:hAnsi="DM Sans"/>
                <w:b w:val="1"/>
                <w:i w:val="0"/>
                <w:smallCaps w:val="0"/>
                <w:strike w:val="0"/>
                <w:color w:val="000000"/>
                <w:sz w:val="22"/>
                <w:szCs w:val="22"/>
                <w:u w:val="none"/>
                <w:shd w:fill="auto" w:val="clear"/>
                <w:vertAlign w:val="baseline"/>
                <w:rtl w:val="0"/>
              </w:rPr>
              <w:t xml:space="preserve">4 Acronyms</w:t>
              <w:tab/>
              <w:t xml:space="preserve">18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0">
      <w:pPr>
        <w:ind w:left="0" w:firstLine="0"/>
        <w:rPr>
          <w:sz w:val="40"/>
          <w:szCs w:val="40"/>
        </w:rPr>
      </w:pPr>
      <w:r w:rsidDel="00000000" w:rsidR="00000000" w:rsidRPr="00000000">
        <w:rPr>
          <w:rtl w:val="0"/>
        </w:rPr>
      </w:r>
    </w:p>
    <w:p w:rsidR="00000000" w:rsidDel="00000000" w:rsidP="00000000" w:rsidRDefault="00000000" w:rsidRPr="00000000" w14:paraId="00000061">
      <w:pPr>
        <w:ind w:firstLine="0"/>
        <w:rPr>
          <w:color w:val="0660aa"/>
        </w:rPr>
      </w:pPr>
      <w:r w:rsidDel="00000000" w:rsidR="00000000" w:rsidRPr="00000000">
        <w:rPr>
          <w:color w:val="0660aa"/>
          <w:sz w:val="40"/>
          <w:szCs w:val="40"/>
          <w:rtl w:val="0"/>
        </w:rPr>
        <w:t xml:space="preserve">List of Figures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62">
          <w:pPr>
            <w:widowControl w:val="0"/>
            <w:tabs>
              <w:tab w:val="right" w:leader="none" w:pos="12000"/>
            </w:tabs>
            <w:spacing w:before="60" w:line="240" w:lineRule="auto"/>
            <w:ind w:firstLine="0"/>
            <w:jc w:val="left"/>
            <w:rPr>
              <w:b w:val="1"/>
              <w:color w:val="000000"/>
              <w:u w:val="none"/>
            </w:rPr>
          </w:pPr>
          <w:r w:rsidDel="00000000" w:rsidR="00000000" w:rsidRPr="00000000">
            <w:fldChar w:fldCharType="begin"/>
            <w:instrText xml:space="preserve"> TOC \h \u \z \t "Heading 4,1,Heading 6,6,"</w:instrText>
            <w:fldChar w:fldCharType="separate"/>
          </w:r>
          <w:hyperlink w:anchor="bookmark=id.i7fbu9j6q33x">
            <w:r w:rsidDel="00000000" w:rsidR="00000000" w:rsidRPr="00000000">
              <w:rPr>
                <w:color w:val="1155cc"/>
                <w:u w:val="single"/>
                <w:rtl w:val="0"/>
              </w:rPr>
              <w:t xml:space="preserve">Figure 1: EOSC Federated “System of Systems” </w:t>
              <w:tab/>
              <w:t xml:space="preserve">7</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firstLine="0"/>
            <w:jc w:val="left"/>
            <w:rPr>
              <w:b w:val="1"/>
              <w:color w:val="000000"/>
              <w:u w:val="none"/>
            </w:rPr>
          </w:pPr>
          <w:hyperlink w:anchor="bookmark=id.ohyfxe8q07tw">
            <w:r w:rsidDel="00000000" w:rsidR="00000000" w:rsidRPr="00000000">
              <w:rPr>
                <w:color w:val="1155cc"/>
                <w:u w:val="single"/>
                <w:rtl w:val="0"/>
              </w:rPr>
              <w:t xml:space="preserve">Figure 2: EOSC Platform concept from EOSC Future </w:t>
              <w:tab/>
              <w:t xml:space="preserve">8</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ind w:firstLine="0"/>
            <w:jc w:val="left"/>
            <w:rPr>
              <w:color w:val="000000"/>
              <w:u w:val="none"/>
            </w:rPr>
          </w:pPr>
          <w:hyperlink w:anchor="bookmark=id.ip4aeiq61l7w">
            <w:r w:rsidDel="00000000" w:rsidR="00000000" w:rsidRPr="00000000">
              <w:rPr>
                <w:color w:val="1155cc"/>
                <w:u w:val="single"/>
                <w:rtl w:val="0"/>
              </w:rPr>
              <w:t xml:space="preserve">Figure 3: The EOSC EU Node LOT1, LOT2, LOT3 structure </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5">
      <w:pPr>
        <w:ind w:firstLine="0"/>
        <w:rPr>
          <w:color w:val="0660aa"/>
          <w:sz w:val="40"/>
          <w:szCs w:val="40"/>
        </w:rPr>
      </w:pPr>
      <w:r w:rsidDel="00000000" w:rsidR="00000000" w:rsidRPr="00000000">
        <w:rPr>
          <w:rtl w:val="0"/>
        </w:rPr>
      </w:r>
    </w:p>
    <w:p w:rsidR="00000000" w:rsidDel="00000000" w:rsidP="00000000" w:rsidRDefault="00000000" w:rsidRPr="00000000" w14:paraId="00000066">
      <w:pPr>
        <w:ind w:firstLine="0"/>
        <w:rPr>
          <w:color w:val="0660aa"/>
        </w:rPr>
      </w:pPr>
      <w:r w:rsidDel="00000000" w:rsidR="00000000" w:rsidRPr="00000000">
        <w:rPr>
          <w:color w:val="0660aa"/>
          <w:sz w:val="40"/>
          <w:szCs w:val="40"/>
          <w:rtl w:val="0"/>
        </w:rPr>
        <w:t xml:space="preserve">List of Tables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67">
          <w:pPr>
            <w:widowControl w:val="0"/>
            <w:tabs>
              <w:tab w:val="right" w:leader="none" w:pos="12000"/>
            </w:tabs>
            <w:spacing w:before="60" w:line="240" w:lineRule="auto"/>
            <w:ind w:firstLine="0"/>
            <w:jc w:val="left"/>
            <w:rPr>
              <w:b w:val="1"/>
              <w:color w:val="000000"/>
              <w:u w:val="none"/>
            </w:rPr>
          </w:pPr>
          <w:r w:rsidDel="00000000" w:rsidR="00000000" w:rsidRPr="00000000">
            <w:fldChar w:fldCharType="begin"/>
            <w:instrText xml:space="preserve"> TOC \h \u \z \t "Heading 5,1,Heading 6,6,"</w:instrText>
            <w:fldChar w:fldCharType="separate"/>
          </w:r>
          <w:hyperlink w:anchor="bookmark=id.3jfc02xl1uvc">
            <w:r w:rsidDel="00000000" w:rsidR="00000000" w:rsidRPr="00000000">
              <w:rPr>
                <w:color w:val="1155cc"/>
                <w:u w:val="single"/>
                <w:rtl w:val="0"/>
              </w:rPr>
              <w:t xml:space="preserve">Table 1: First wave of potential candidate EOSC Nodes </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8">
      <w:pPr>
        <w:ind w:left="0" w:firstLine="0"/>
        <w:rPr>
          <w:color w:val="f9cb9c"/>
          <w:sz w:val="40"/>
          <w:szCs w:val="40"/>
        </w:rPr>
      </w:pPr>
      <w:r w:rsidDel="00000000" w:rsidR="00000000" w:rsidRPr="00000000">
        <w:rPr>
          <w:rtl w:val="0"/>
        </w:rPr>
      </w:r>
    </w:p>
    <w:p w:rsidR="00000000" w:rsidDel="00000000" w:rsidP="00000000" w:rsidRDefault="00000000" w:rsidRPr="00000000" w14:paraId="00000069">
      <w:pPr>
        <w:rPr/>
      </w:pP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1"/>
        <w:numPr>
          <w:ilvl w:val="0"/>
          <w:numId w:val="2"/>
        </w:numPr>
        <w:ind w:left="496.062992125984" w:hanging="360"/>
        <w:rPr/>
      </w:pPr>
      <w:bookmarkStart w:colFirst="0" w:colLast="0" w:name="_heading=h.3znysh7" w:id="2"/>
      <w:bookmarkEnd w:id="2"/>
      <w:r w:rsidDel="00000000" w:rsidR="00000000" w:rsidRPr="00000000">
        <w:rPr>
          <w:rtl w:val="0"/>
        </w:rPr>
        <w:t xml:space="preserve">Introduction</w:t>
      </w:r>
    </w:p>
    <w:p w:rsidR="00000000" w:rsidDel="00000000" w:rsidP="00000000" w:rsidRDefault="00000000" w:rsidRPr="00000000" w14:paraId="0000006B">
      <w:pPr>
        <w:spacing w:after="120" w:lineRule="auto"/>
        <w:ind w:firstLine="0"/>
        <w:jc w:val="both"/>
        <w:rPr/>
      </w:pPr>
      <w:r w:rsidDel="00000000" w:rsidR="00000000" w:rsidRPr="00000000">
        <w:rPr>
          <w:rtl w:val="0"/>
        </w:rPr>
        <w:t xml:space="preserve">iMagine has the overall objective to deploy, operate, validate, and promote a dedicated iMagine AI framework and platform. The platform connected to the EOSC and AIoD provides researchers in aquatic sciences with open access to a diverse portfolio of AI-based image analysis services and image repositories from multiple RIs. These services and repositories are relevant to the overarching theme of ‘Healthy oceans, seas, coastal and inland waters’.</w:t>
      </w:r>
    </w:p>
    <w:p w:rsidR="00000000" w:rsidDel="00000000" w:rsidP="00000000" w:rsidRDefault="00000000" w:rsidRPr="00000000" w14:paraId="0000006C">
      <w:pPr>
        <w:spacing w:after="120" w:lineRule="auto"/>
        <w:jc w:val="both"/>
        <w:rPr/>
      </w:pPr>
      <w:r w:rsidDel="00000000" w:rsidR="00000000" w:rsidRPr="00000000">
        <w:rPr>
          <w:rtl w:val="0"/>
        </w:rPr>
        <w:t xml:space="preserve">The project concept revolves around three main working blocks:</w:t>
      </w:r>
    </w:p>
    <w:p w:rsidR="00000000" w:rsidDel="00000000" w:rsidP="00000000" w:rsidRDefault="00000000" w:rsidRPr="00000000" w14:paraId="0000006D">
      <w:pPr>
        <w:numPr>
          <w:ilvl w:val="0"/>
          <w:numId w:val="9"/>
        </w:numPr>
        <w:ind w:left="720" w:hanging="360"/>
        <w:jc w:val="both"/>
        <w:rPr/>
      </w:pPr>
      <w:r w:rsidDel="00000000" w:rsidR="00000000" w:rsidRPr="00000000">
        <w:rPr>
          <w:rtl w:val="0"/>
        </w:rPr>
        <w:t xml:space="preserve">A common </w:t>
      </w:r>
      <w:r w:rsidDel="00000000" w:rsidR="00000000" w:rsidRPr="00000000">
        <w:rPr>
          <w:b w:val="1"/>
          <w:rtl w:val="0"/>
        </w:rPr>
        <w:t xml:space="preserve">iMagine AI framework and computing platform,</w:t>
      </w:r>
      <w:r w:rsidDel="00000000" w:rsidR="00000000" w:rsidRPr="00000000">
        <w:rPr>
          <w:rtl w:val="0"/>
        </w:rPr>
        <w:t xml:space="preserve"> facilitating the development, testing, training, hosting, and operation of AI-based image analysis services, following FAIR practices.</w:t>
      </w:r>
    </w:p>
    <w:p w:rsidR="00000000" w:rsidDel="00000000" w:rsidP="00000000" w:rsidRDefault="00000000" w:rsidRPr="00000000" w14:paraId="0000006E">
      <w:pPr>
        <w:numPr>
          <w:ilvl w:val="0"/>
          <w:numId w:val="9"/>
        </w:numPr>
        <w:ind w:left="720" w:hanging="360"/>
        <w:jc w:val="both"/>
        <w:rPr/>
      </w:pPr>
      <w:r w:rsidDel="00000000" w:rsidR="00000000" w:rsidRPr="00000000">
        <w:rPr>
          <w:b w:val="1"/>
          <w:rtl w:val="0"/>
        </w:rPr>
        <w:t xml:space="preserve">Five operational and three prototype AI-based image analysis services</w:t>
      </w:r>
      <w:r w:rsidDel="00000000" w:rsidR="00000000" w:rsidRPr="00000000">
        <w:rPr>
          <w:rtl w:val="0"/>
        </w:rPr>
        <w:t xml:space="preserve"> with image repositories were developed with the iMagine AI platform and opened for users in 2024 to provide open access and exploitation by researchers. They are instrumental in demonstrating value and fostering further uptake by a large community of target users and beneficiaries.</w:t>
      </w:r>
    </w:p>
    <w:p w:rsidR="00000000" w:rsidDel="00000000" w:rsidP="00000000" w:rsidRDefault="00000000" w:rsidRPr="00000000" w14:paraId="0000006F">
      <w:pPr>
        <w:numPr>
          <w:ilvl w:val="0"/>
          <w:numId w:val="9"/>
        </w:numPr>
        <w:spacing w:after="120" w:lineRule="auto"/>
        <w:ind w:left="720" w:hanging="360"/>
        <w:jc w:val="both"/>
        <w:rPr/>
      </w:pPr>
      <w:r w:rsidDel="00000000" w:rsidR="00000000" w:rsidRPr="00000000">
        <w:rPr>
          <w:b w:val="1"/>
          <w:rtl w:val="0"/>
        </w:rPr>
        <w:t xml:space="preserve">Best Practices,</w:t>
      </w:r>
      <w:r w:rsidDel="00000000" w:rsidR="00000000" w:rsidRPr="00000000">
        <w:rPr>
          <w:rtl w:val="0"/>
        </w:rPr>
        <w:t xml:space="preserve"> consisting of documentation and training materials, compiled giving practical guidance and examples to end-users on exploiting image datasets and analysis applications offered by the iMagine portfolio and serving as an example to whoever wishes to develop and deliver similar AI-based image analysis services and image repositories.</w:t>
      </w:r>
    </w:p>
    <w:p w:rsidR="00000000" w:rsidDel="00000000" w:rsidP="00000000" w:rsidRDefault="00000000" w:rsidRPr="00000000" w14:paraId="00000070">
      <w:pPr>
        <w:spacing w:after="120" w:lineRule="auto"/>
        <w:ind w:left="0" w:firstLine="0"/>
        <w:jc w:val="both"/>
        <w:rPr/>
      </w:pPr>
      <w:r w:rsidDel="00000000" w:rsidR="00000000" w:rsidRPr="00000000">
        <w:rPr>
          <w:rtl w:val="0"/>
        </w:rPr>
        <w:t xml:space="preserve">This deliverable provides an updated plan for bringing these three groups of assets into the European Open Science Cloud (EOSC)</w:t>
      </w:r>
      <w:r w:rsidDel="00000000" w:rsidR="00000000" w:rsidRPr="00000000">
        <w:rPr>
          <w:vertAlign w:val="superscript"/>
        </w:rPr>
        <w:footnoteReference w:customMarkFollows="0" w:id="0"/>
      </w:r>
      <w:r w:rsidDel="00000000" w:rsidR="00000000" w:rsidRPr="00000000">
        <w:rPr>
          <w:rtl w:val="0"/>
        </w:rPr>
        <w:t xml:space="preserve">, and into the ‘AI on Demand platform’ (AIoD)</w:t>
      </w:r>
      <w:r w:rsidDel="00000000" w:rsidR="00000000" w:rsidRPr="00000000">
        <w:rPr>
          <w:vertAlign w:val="superscript"/>
        </w:rPr>
        <w:footnoteReference w:customMarkFollows="0" w:id="1"/>
      </w:r>
      <w:r w:rsidDel="00000000" w:rsidR="00000000" w:rsidRPr="00000000">
        <w:rPr>
          <w:rtl w:val="0"/>
        </w:rPr>
        <w:t xml:space="preserve">, two large-scale initiatives in Europe matching the topics of iMagine. </w:t>
      </w:r>
    </w:p>
    <w:p w:rsidR="00000000" w:rsidDel="00000000" w:rsidP="00000000" w:rsidRDefault="00000000" w:rsidRPr="00000000" w14:paraId="00000071">
      <w:pPr>
        <w:pStyle w:val="Heading2"/>
        <w:numPr>
          <w:ilvl w:val="1"/>
          <w:numId w:val="2"/>
        </w:numPr>
        <w:spacing w:after="120" w:lineRule="auto"/>
        <w:ind w:left="637.7952755905511" w:hanging="360"/>
        <w:jc w:val="both"/>
        <w:rPr>
          <w:u w:val="none"/>
        </w:rPr>
      </w:pPr>
      <w:bookmarkStart w:colFirst="0" w:colLast="0" w:name="_heading=h.2et92p0" w:id="3"/>
      <w:bookmarkEnd w:id="3"/>
      <w:r w:rsidDel="00000000" w:rsidR="00000000" w:rsidRPr="00000000">
        <w:rPr>
          <w:rtl w:val="0"/>
        </w:rPr>
        <w:t xml:space="preserve">Introduction to EOSC and AIoD</w:t>
      </w: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t xml:space="preserve">The European Open Science Cloud (EOSC) is evolving into a fully operational ecosystem through the establishment of the EOSC Federation</w:t>
      </w:r>
      <w:r w:rsidDel="00000000" w:rsidR="00000000" w:rsidRPr="00000000">
        <w:rPr>
          <w:vertAlign w:val="superscript"/>
        </w:rPr>
        <w:footnoteReference w:customMarkFollows="0" w:id="2"/>
      </w:r>
      <w:r w:rsidDel="00000000" w:rsidR="00000000" w:rsidRPr="00000000">
        <w:rPr>
          <w:rtl w:val="0"/>
        </w:rPr>
        <w:t xml:space="preserve">, representing a significant milestone in achieving seamless access to scientific resources across Europe. The EOSC EU Node, officially launched at the EOSC Symposium in October 2024, now serves as a cornerstone of this ambitious federation, enabling interoperability and collaboration across diverse disciplines.</w:t>
      </w:r>
    </w:p>
    <w:p w:rsidR="00000000" w:rsidDel="00000000" w:rsidP="00000000" w:rsidRDefault="00000000" w:rsidRPr="00000000" w14:paraId="00000073">
      <w:pPr>
        <w:ind w:left="0" w:firstLine="0"/>
        <w:rPr/>
      </w:pPr>
      <w:r w:rsidDel="00000000" w:rsidR="00000000" w:rsidRPr="00000000">
        <w:rPr>
          <w:rtl w:val="0"/>
        </w:rPr>
        <w:t xml:space="preserve">By federating data repositories, research infrastructures, e-infrastructures, and scientific service providers, the EOSC Federation will create a "system of systems" designed to foster collaboration, support FAIR principles, and provide researchers secure, interoperable digital resources. This environment enhances visibility, optimises resource sharing, influences policy and standardisation, and promotes sustainability in research across disciplines and borders.</w:t>
      </w:r>
    </w:p>
    <w:p w:rsidR="00000000" w:rsidDel="00000000" w:rsidP="00000000" w:rsidRDefault="00000000" w:rsidRPr="00000000" w14:paraId="00000074">
      <w:pPr>
        <w:ind w:left="0" w:firstLine="0"/>
        <w:rPr/>
      </w:pPr>
      <w:r w:rsidDel="00000000" w:rsidR="00000000" w:rsidRPr="00000000">
        <w:rPr>
          <w:rtl w:val="0"/>
        </w:rPr>
        <w:t xml:space="preserve">The EOSC Federation Handbook</w:t>
      </w:r>
      <w:r w:rsidDel="00000000" w:rsidR="00000000" w:rsidRPr="00000000">
        <w:rPr>
          <w:vertAlign w:val="superscript"/>
        </w:rPr>
        <w:footnoteReference w:customMarkFollows="0" w:id="3"/>
      </w:r>
      <w:r w:rsidDel="00000000" w:rsidR="00000000" w:rsidRPr="00000000">
        <w:rPr>
          <w:rtl w:val="0"/>
        </w:rPr>
        <w:t xml:space="preserve"> defines the governance, structure, and operational framework of this ecosystem, paving the way for a unified, trustworthy research infrastructure. Through this integration, the EOSC Federation aims to empower Europe's scientific community with advanced capabilities and opportunities in open science.</w:t>
      </w:r>
    </w:p>
    <w:p w:rsidR="00000000" w:rsidDel="00000000" w:rsidP="00000000" w:rsidRDefault="00000000" w:rsidRPr="00000000" w14:paraId="00000075">
      <w:pPr>
        <w:ind w:left="0" w:firstLine="0"/>
        <w:rPr/>
      </w:pPr>
      <w:r w:rsidDel="00000000" w:rsidR="00000000" w:rsidRPr="00000000">
        <w:rPr>
          <w:rtl w:val="0"/>
        </w:rPr>
        <w:t xml:space="preserve">The first wave of Potential Candidate EOSC Nodes, such as Blue-Cloud</w:t>
      </w:r>
      <w:r w:rsidDel="00000000" w:rsidR="00000000" w:rsidRPr="00000000">
        <w:rPr>
          <w:vertAlign w:val="superscript"/>
        </w:rPr>
        <w:footnoteReference w:customMarkFollows="0" w:id="4"/>
      </w:r>
      <w:r w:rsidDel="00000000" w:rsidR="00000000" w:rsidRPr="00000000">
        <w:rPr>
          <w:rtl w:val="0"/>
        </w:rPr>
        <w:t xml:space="preserve">, is being invited to participate in dialogue meetings as part of the sequencing process established by the EOSC Tripartite Governance. These nodes are expected to integrate with the EOSC EU Node in the first half of 2025, initiating the federation of thematic, national, and organisational nodes.</w:t>
      </w:r>
    </w:p>
    <w:p w:rsidR="00000000" w:rsidDel="00000000" w:rsidP="00000000" w:rsidRDefault="00000000" w:rsidRPr="00000000" w14:paraId="00000076">
      <w:pPr>
        <w:ind w:left="0" w:firstLine="0"/>
        <w:jc w:val="both"/>
        <w:rPr/>
      </w:pPr>
      <w:r w:rsidDel="00000000" w:rsidR="00000000" w:rsidRPr="00000000">
        <w:rPr>
          <w:rtl w:val="0"/>
        </w:rPr>
      </w:r>
    </w:p>
    <w:p w:rsidR="00000000" w:rsidDel="00000000" w:rsidP="00000000" w:rsidRDefault="00000000" w:rsidRPr="00000000" w14:paraId="00000077">
      <w:pPr>
        <w:ind w:firstLine="0"/>
        <w:rPr/>
      </w:pPr>
      <w:r w:rsidDel="00000000" w:rsidR="00000000" w:rsidRPr="00000000">
        <w:rPr>
          <w:rtl w:val="0"/>
        </w:rPr>
        <w:t xml:space="preserve">The AI-on-demand (AIoD) is also transitioning into a decentralised ecosystem of community-driven services, designed to serve as a collaborative resource for the research community. This evolution aims to enhance accessibility, integration, and collaboration across the European AI landscape.</w:t>
      </w:r>
    </w:p>
    <w:p w:rsidR="00000000" w:rsidDel="00000000" w:rsidP="00000000" w:rsidRDefault="00000000" w:rsidRPr="00000000" w14:paraId="00000078">
      <w:pPr>
        <w:ind w:firstLine="0"/>
        <w:rPr/>
      </w:pPr>
      <w:r w:rsidDel="00000000" w:rsidR="00000000" w:rsidRPr="00000000">
        <w:rPr>
          <w:rtl w:val="0"/>
        </w:rPr>
        <w:t xml:space="preserve">The AI4Europe project</w:t>
      </w:r>
      <w:r w:rsidDel="00000000" w:rsidR="00000000" w:rsidRPr="00000000">
        <w:rPr>
          <w:vertAlign w:val="superscript"/>
        </w:rPr>
        <w:footnoteReference w:customMarkFollows="0" w:id="5"/>
      </w:r>
      <w:r w:rsidDel="00000000" w:rsidR="00000000" w:rsidRPr="00000000">
        <w:rPr>
          <w:rtl w:val="0"/>
        </w:rPr>
        <w:t xml:space="preserve">, funded under the Horizon Europe programme, currently leads the management, development and facilitation of the AIoD Platform. Its main objective is to establish a sustainable digital platform and experimentation environment by creating open research channels and mechanisms supporting European AI academic and industrial research. AI4Europe seeks to maximise the academic, social, and industrial impact of AI while seamlessly integrating other projects, platforms, and solutions. In parallel, the DeployAI project</w:t>
      </w:r>
      <w:r w:rsidDel="00000000" w:rsidR="00000000" w:rsidRPr="00000000">
        <w:rPr>
          <w:vertAlign w:val="superscript"/>
        </w:rPr>
        <w:footnoteReference w:customMarkFollows="0" w:id="6"/>
      </w:r>
      <w:r w:rsidDel="00000000" w:rsidR="00000000" w:rsidRPr="00000000">
        <w:rPr>
          <w:rtl w:val="0"/>
        </w:rPr>
        <w:t xml:space="preserve"> focuses on fostering collaboration between the industrial community, public sector, and AI product developers to propel trustworthy innovation in the European market.</w:t>
      </w:r>
    </w:p>
    <w:p w:rsidR="00000000" w:rsidDel="00000000" w:rsidP="00000000" w:rsidRDefault="00000000" w:rsidRPr="00000000" w14:paraId="00000079">
      <w:pPr>
        <w:pStyle w:val="Heading2"/>
        <w:numPr>
          <w:ilvl w:val="1"/>
          <w:numId w:val="2"/>
        </w:numPr>
        <w:ind w:left="708.6614173228347" w:hanging="360"/>
        <w:rPr>
          <w:u w:val="none"/>
        </w:rPr>
      </w:pPr>
      <w:bookmarkStart w:colFirst="0" w:colLast="0" w:name="_heading=h.tyjcwt" w:id="4"/>
      <w:bookmarkEnd w:id="4"/>
      <w:r w:rsidDel="00000000" w:rsidR="00000000" w:rsidRPr="00000000">
        <w:rPr>
          <w:rtl w:val="0"/>
        </w:rPr>
        <w:t xml:space="preserve">Liaisoning with EOSC and AIoD</w:t>
      </w:r>
      <w:r w:rsidDel="00000000" w:rsidR="00000000" w:rsidRPr="00000000">
        <w:rPr>
          <w:rtl w:val="0"/>
        </w:rPr>
      </w:r>
    </w:p>
    <w:p w:rsidR="00000000" w:rsidDel="00000000" w:rsidP="00000000" w:rsidRDefault="00000000" w:rsidRPr="00000000" w14:paraId="0000007A">
      <w:pPr>
        <w:ind w:firstLine="0"/>
        <w:rPr/>
      </w:pPr>
      <w:r w:rsidDel="00000000" w:rsidR="00000000" w:rsidRPr="00000000">
        <w:rPr>
          <w:rtl w:val="0"/>
        </w:rPr>
        <w:t xml:space="preserve">The task of liaisoning with EOSC and AIoD initiatives in the iMagine project falls under T2.3 with the objective of:</w:t>
      </w:r>
    </w:p>
    <w:p w:rsidR="00000000" w:rsidDel="00000000" w:rsidP="00000000" w:rsidRDefault="00000000" w:rsidRPr="00000000" w14:paraId="0000007B">
      <w:pPr>
        <w:numPr>
          <w:ilvl w:val="0"/>
          <w:numId w:val="11"/>
        </w:numPr>
        <w:ind w:left="720" w:hanging="360"/>
        <w:rPr>
          <w:u w:val="none"/>
        </w:rPr>
      </w:pPr>
      <w:r w:rsidDel="00000000" w:rsidR="00000000" w:rsidRPr="00000000">
        <w:rPr>
          <w:rtl w:val="0"/>
        </w:rPr>
        <w:t xml:space="preserve">Lead technical and procedural integration with EOSC and AIoD initiatives to use these initiatives best.</w:t>
      </w:r>
      <w:r w:rsidDel="00000000" w:rsidR="00000000" w:rsidRPr="00000000">
        <w:rPr>
          <w:rtl w:val="0"/>
        </w:rPr>
      </w:r>
    </w:p>
    <w:p w:rsidR="00000000" w:rsidDel="00000000" w:rsidP="00000000" w:rsidRDefault="00000000" w:rsidRPr="00000000" w14:paraId="0000007C">
      <w:pPr>
        <w:numPr>
          <w:ilvl w:val="0"/>
          <w:numId w:val="11"/>
        </w:numPr>
        <w:ind w:left="720" w:hanging="360"/>
        <w:rPr>
          <w:u w:val="none"/>
        </w:rPr>
      </w:pPr>
      <w:r w:rsidDel="00000000" w:rsidR="00000000" w:rsidRPr="00000000">
        <w:rPr>
          <w:rtl w:val="0"/>
        </w:rPr>
        <w:t xml:space="preserve">Integrate these services with the EOSC Authentication-Authorisation Infrastructure (Federated identity management), Monitoring infrastructure (deployment of test probes), and Accounting system (deployment of accounting log parsers for image data).</w:t>
      </w:r>
      <w:r w:rsidDel="00000000" w:rsidR="00000000" w:rsidRPr="00000000">
        <w:rPr>
          <w:rtl w:val="0"/>
        </w:rPr>
      </w:r>
    </w:p>
    <w:p w:rsidR="00000000" w:rsidDel="00000000" w:rsidP="00000000" w:rsidRDefault="00000000" w:rsidRPr="00000000" w14:paraId="0000007D">
      <w:pPr>
        <w:numPr>
          <w:ilvl w:val="0"/>
          <w:numId w:val="11"/>
        </w:numPr>
        <w:ind w:left="720" w:hanging="360"/>
        <w:rPr>
          <w:u w:val="none"/>
        </w:rPr>
      </w:pPr>
      <w:r w:rsidDel="00000000" w:rsidR="00000000" w:rsidRPr="00000000">
        <w:rPr>
          <w:rtl w:val="0"/>
        </w:rPr>
        <w:t xml:space="preserve">Participate in relevant AIoD and EOSC Working Groups and Task Forces and assess EOSC and AIoD services for adoption within the WP3 activities.</w:t>
      </w:r>
      <w:r w:rsidDel="00000000" w:rsidR="00000000" w:rsidRPr="00000000">
        <w:rPr>
          <w:rtl w:val="0"/>
        </w:rPr>
      </w:r>
    </w:p>
    <w:p w:rsidR="00000000" w:rsidDel="00000000" w:rsidP="00000000" w:rsidRDefault="00000000" w:rsidRPr="00000000" w14:paraId="0000007E">
      <w:pPr>
        <w:numPr>
          <w:ilvl w:val="0"/>
          <w:numId w:val="11"/>
        </w:numPr>
        <w:ind w:left="720" w:hanging="360"/>
        <w:rPr>
          <w:u w:val="none"/>
        </w:rPr>
      </w:pPr>
      <w:r w:rsidDel="00000000" w:rsidR="00000000" w:rsidRPr="00000000">
        <w:rPr>
          <w:rtl w:val="0"/>
        </w:rPr>
        <w:t xml:space="preserve">Coordinate the work of the E-Infrastructure Consultation Panel for the long-term sustainability of the service setups.</w:t>
      </w:r>
      <w:r w:rsidDel="00000000" w:rsidR="00000000" w:rsidRPr="00000000">
        <w:rPr>
          <w:rtl w:val="0"/>
        </w:rPr>
      </w:r>
    </w:p>
    <w:p w:rsidR="00000000" w:rsidDel="00000000" w:rsidP="00000000" w:rsidRDefault="00000000" w:rsidRPr="00000000" w14:paraId="0000007F">
      <w:pPr>
        <w:spacing w:after="120" w:lineRule="auto"/>
        <w:jc w:val="both"/>
        <w:rPr/>
      </w:pPr>
      <w:r w:rsidDel="00000000" w:rsidR="00000000" w:rsidRPr="00000000">
        <w:rPr>
          <w:rtl w:val="0"/>
        </w:rPr>
        <w:t xml:space="preserve">This document is an important step in this liaison. It</w:t>
      </w:r>
    </w:p>
    <w:p w:rsidR="00000000" w:rsidDel="00000000" w:rsidP="00000000" w:rsidRDefault="00000000" w:rsidRPr="00000000" w14:paraId="00000080">
      <w:pPr>
        <w:numPr>
          <w:ilvl w:val="0"/>
          <w:numId w:val="8"/>
        </w:numPr>
        <w:spacing w:after="0" w:lineRule="auto"/>
        <w:ind w:left="720" w:hanging="360"/>
        <w:jc w:val="both"/>
        <w:rPr>
          <w:u w:val="none"/>
        </w:rPr>
      </w:pPr>
      <w:r w:rsidDel="00000000" w:rsidR="00000000" w:rsidRPr="00000000">
        <w:rPr>
          <w:rtl w:val="0"/>
        </w:rPr>
        <w:t xml:space="preserve">Provides updates on the ongoing evolution of the EOSC and AIoD initiatives, highlighting potential engagement opportunities for iMagine.</w:t>
      </w:r>
      <w:r w:rsidDel="00000000" w:rsidR="00000000" w:rsidRPr="00000000">
        <w:rPr>
          <w:rtl w:val="0"/>
        </w:rPr>
      </w:r>
    </w:p>
    <w:p w:rsidR="00000000" w:rsidDel="00000000" w:rsidP="00000000" w:rsidRDefault="00000000" w:rsidRPr="00000000" w14:paraId="00000081">
      <w:pPr>
        <w:numPr>
          <w:ilvl w:val="0"/>
          <w:numId w:val="8"/>
        </w:numPr>
        <w:spacing w:after="120" w:lineRule="auto"/>
        <w:ind w:left="720" w:hanging="360"/>
        <w:jc w:val="both"/>
        <w:rPr>
          <w:u w:val="none"/>
        </w:rPr>
      </w:pPr>
      <w:r w:rsidDel="00000000" w:rsidR="00000000" w:rsidRPr="00000000">
        <w:rPr>
          <w:rtl w:val="0"/>
        </w:rPr>
        <w:t xml:space="preserve">Explores how iMagine has benefited from the EOSC and AIoD initiatives and outlines the opportunities presented by their evolution.</w:t>
      </w:r>
      <w:r w:rsidDel="00000000" w:rsidR="00000000" w:rsidRPr="00000000">
        <w:rPr>
          <w:rtl w:val="0"/>
        </w:rPr>
      </w:r>
    </w:p>
    <w:p w:rsidR="00000000" w:rsidDel="00000000" w:rsidP="00000000" w:rsidRDefault="00000000" w:rsidRPr="00000000" w14:paraId="00000082">
      <w:pPr>
        <w:pStyle w:val="Heading1"/>
        <w:rPr/>
      </w:pPr>
      <w:bookmarkStart w:colFirst="0" w:colLast="0" w:name="_heading=h.3dy6vkm" w:id="5"/>
      <w:bookmarkEnd w:id="5"/>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1"/>
        <w:numPr>
          <w:ilvl w:val="0"/>
          <w:numId w:val="2"/>
        </w:numPr>
        <w:spacing w:after="0" w:lineRule="auto"/>
        <w:ind w:left="566.9291338582675" w:hanging="360"/>
        <w:rPr>
          <w:u w:val="none"/>
        </w:rPr>
      </w:pPr>
      <w:bookmarkStart w:colFirst="0" w:colLast="0" w:name="_heading=h.1t3h5sf" w:id="6"/>
      <w:bookmarkEnd w:id="6"/>
      <w:r w:rsidDel="00000000" w:rsidR="00000000" w:rsidRPr="00000000">
        <w:rPr>
          <w:rtl w:val="0"/>
        </w:rPr>
        <w:t xml:space="preserve">EOSC liaison and integration plan</w:t>
      </w:r>
      <w:r w:rsidDel="00000000" w:rsidR="00000000" w:rsidRPr="00000000">
        <w:rPr>
          <w:rtl w:val="0"/>
        </w:rPr>
      </w:r>
    </w:p>
    <w:p w:rsidR="00000000" w:rsidDel="00000000" w:rsidP="00000000" w:rsidRDefault="00000000" w:rsidRPr="00000000" w14:paraId="00000084">
      <w:pPr>
        <w:pStyle w:val="Heading2"/>
        <w:numPr>
          <w:ilvl w:val="1"/>
          <w:numId w:val="2"/>
        </w:numPr>
        <w:spacing w:before="0" w:lineRule="auto"/>
        <w:ind w:left="708.6614173228347" w:hanging="360"/>
        <w:rPr>
          <w:u w:val="none"/>
        </w:rPr>
      </w:pPr>
      <w:bookmarkStart w:colFirst="0" w:colLast="0" w:name="_heading=h.4d34og8" w:id="7"/>
      <w:bookmarkEnd w:id="7"/>
      <w:r w:rsidDel="00000000" w:rsidR="00000000" w:rsidRPr="00000000">
        <w:rPr>
          <w:rtl w:val="0"/>
        </w:rPr>
        <w:t xml:space="preserve">EOSC Overview</w:t>
      </w: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rtl w:val="0"/>
        </w:rPr>
        <w:t xml:space="preserve">As previously mentioned, EOSC aims to establish a “Web of FAIR Data and Services” to support scientific research across Europe. EOSC envisions a multidisciplinary environment where researchers can seamlessly publish, discover, and reuse data, tools, and services, enhancing their ability to conduct and advance research.</w:t>
      </w:r>
    </w:p>
    <w:p w:rsidR="00000000" w:rsidDel="00000000" w:rsidP="00000000" w:rsidRDefault="00000000" w:rsidRPr="00000000" w14:paraId="00000086">
      <w:pPr>
        <w:ind w:left="0" w:firstLine="0"/>
        <w:rPr/>
      </w:pPr>
      <w:r w:rsidDel="00000000" w:rsidR="00000000" w:rsidRPr="00000000">
        <w:rPr>
          <w:rtl w:val="0"/>
        </w:rPr>
        <w:t xml:space="preserve">This vision is being realised through the development of the EOSC Federation - a network of interconnected, autonomous nodes forming a “system of systems” architecture (</w:t>
      </w:r>
      <w:hyperlink w:anchor="bookmark=id.i7fbu9j6q33x">
        <w:r w:rsidDel="00000000" w:rsidR="00000000" w:rsidRPr="00000000">
          <w:rPr>
            <w:b w:val="1"/>
            <w:color w:val="ff9900"/>
            <w:u w:val="single"/>
            <w:rtl w:val="0"/>
          </w:rPr>
          <w:t xml:space="preserve">Figure 1</w:t>
        </w:r>
      </w:hyperlink>
      <w:r w:rsidDel="00000000" w:rsidR="00000000" w:rsidRPr="00000000">
        <w:rPr>
          <w:rtl w:val="0"/>
        </w:rPr>
        <w:t xml:space="preserve">). Each node operates independently while adhering to a unified framework of standards, policies, and best practices, ensuring interoperability, collaboration, and consistency throughout the federation.</w:t>
      </w:r>
    </w:p>
    <w:p w:rsidR="00000000" w:rsidDel="00000000" w:rsidP="00000000" w:rsidRDefault="00000000" w:rsidRPr="00000000" w14:paraId="00000087">
      <w:pPr>
        <w:ind w:firstLine="0"/>
        <w:rPr/>
      </w:pPr>
      <w:r w:rsidDel="00000000" w:rsidR="00000000" w:rsidRPr="00000000">
        <w:rPr>
          <w:rtl w:val="0"/>
        </w:rPr>
        <w:t xml:space="preserve">EOSC Nodes operate at local, national, regional, thematic or European levels and contribute services, datasets, and other resources to the Federation. Each Node: </w:t>
      </w:r>
    </w:p>
    <w:p w:rsidR="00000000" w:rsidDel="00000000" w:rsidP="00000000" w:rsidRDefault="00000000" w:rsidRPr="00000000" w14:paraId="00000088">
      <w:pPr>
        <w:numPr>
          <w:ilvl w:val="0"/>
          <w:numId w:val="1"/>
        </w:numPr>
        <w:ind w:left="720" w:hanging="360"/>
        <w:rPr>
          <w:u w:val="none"/>
        </w:rPr>
      </w:pPr>
      <w:r w:rsidDel="00000000" w:rsidR="00000000" w:rsidRPr="00000000">
        <w:rPr>
          <w:rtl w:val="0"/>
        </w:rPr>
        <w:t xml:space="preserve">Maintains its own governance model.</w:t>
      </w:r>
      <w:r w:rsidDel="00000000" w:rsidR="00000000" w:rsidRPr="00000000">
        <w:rPr>
          <w:rtl w:val="0"/>
        </w:rPr>
      </w:r>
    </w:p>
    <w:p w:rsidR="00000000" w:rsidDel="00000000" w:rsidP="00000000" w:rsidRDefault="00000000" w:rsidRPr="00000000" w14:paraId="00000089">
      <w:pPr>
        <w:numPr>
          <w:ilvl w:val="0"/>
          <w:numId w:val="1"/>
        </w:numPr>
        <w:ind w:left="720" w:hanging="360"/>
        <w:rPr>
          <w:u w:val="none"/>
        </w:rPr>
      </w:pPr>
      <w:r w:rsidDel="00000000" w:rsidR="00000000" w:rsidRPr="00000000">
        <w:rPr>
          <w:rtl w:val="0"/>
        </w:rPr>
        <w:t xml:space="preserve">Operates its own platform while complying with the Federation's technical framework.</w:t>
      </w:r>
      <w:r w:rsidDel="00000000" w:rsidR="00000000" w:rsidRPr="00000000">
        <w:rPr>
          <w:rtl w:val="0"/>
        </w:rPr>
      </w:r>
    </w:p>
    <w:p w:rsidR="00000000" w:rsidDel="00000000" w:rsidP="00000000" w:rsidRDefault="00000000" w:rsidRPr="00000000" w14:paraId="0000008A">
      <w:pPr>
        <w:numPr>
          <w:ilvl w:val="0"/>
          <w:numId w:val="1"/>
        </w:numPr>
        <w:ind w:left="720" w:hanging="360"/>
        <w:rPr>
          <w:u w:val="none"/>
        </w:rPr>
      </w:pPr>
      <w:r w:rsidDel="00000000" w:rsidR="00000000" w:rsidRPr="00000000">
        <w:rPr>
          <w:rtl w:val="0"/>
        </w:rPr>
        <w:t xml:space="preserve">May offer additional services and resources accessible via the Node but not shared with the EOSC Federation.</w:t>
      </w:r>
      <w:r w:rsidDel="00000000" w:rsidR="00000000" w:rsidRPr="00000000">
        <w:rPr>
          <w:rtl w:val="0"/>
        </w:rPr>
      </w:r>
    </w:p>
    <w:p w:rsidR="00000000" w:rsidDel="00000000" w:rsidP="00000000" w:rsidRDefault="00000000" w:rsidRPr="00000000" w14:paraId="0000008B">
      <w:pPr>
        <w:ind w:firstLine="0"/>
        <w:rPr/>
      </w:pPr>
      <w:r w:rsidDel="00000000" w:rsidR="00000000" w:rsidRPr="00000000">
        <w:rPr>
          <w:rtl w:val="0"/>
        </w:rPr>
      </w:r>
    </w:p>
    <w:p w:rsidR="00000000" w:rsidDel="00000000" w:rsidP="00000000" w:rsidRDefault="00000000" w:rsidRPr="00000000" w14:paraId="0000008C">
      <w:pPr>
        <w:ind w:firstLine="0"/>
        <w:jc w:val="center"/>
        <w:rPr/>
      </w:pPr>
      <w:r w:rsidDel="00000000" w:rsidR="00000000" w:rsidRPr="00000000">
        <w:rPr/>
        <w:drawing>
          <wp:inline distB="114300" distT="114300" distL="114300" distR="114300">
            <wp:extent cx="5731200" cy="2933700"/>
            <wp:effectExtent b="0" l="0" r="0" t="0"/>
            <wp:docPr id="11"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5731200" cy="2933700"/>
                    </a:xfrm>
                    <a:prstGeom prst="rect"/>
                    <a:ln/>
                  </pic:spPr>
                </pic:pic>
              </a:graphicData>
            </a:graphic>
          </wp:inline>
        </w:drawing>
      </w:r>
      <w:r w:rsidDel="00000000" w:rsidR="00000000" w:rsidRPr="00000000">
        <w:rPr>
          <w:rtl w:val="0"/>
        </w:rPr>
      </w:r>
    </w:p>
    <w:bookmarkStart w:colFirst="0" w:colLast="0" w:name="bookmark=id.i7fbu9j6q33x" w:id="8"/>
    <w:bookmarkEnd w:id="8"/>
    <w:p w:rsidR="00000000" w:rsidDel="00000000" w:rsidP="00000000" w:rsidRDefault="00000000" w:rsidRPr="00000000" w14:paraId="0000008D">
      <w:pPr>
        <w:pStyle w:val="Heading4"/>
        <w:ind w:firstLine="0"/>
        <w:jc w:val="center"/>
        <w:rPr/>
      </w:pPr>
      <w:bookmarkStart w:colFirst="0" w:colLast="0" w:name="_heading=h.wl0vuejhx7b8" w:id="9"/>
      <w:bookmarkEnd w:id="9"/>
      <w:r w:rsidDel="00000000" w:rsidR="00000000" w:rsidRPr="00000000">
        <w:rPr>
          <w:rtl w:val="0"/>
        </w:rPr>
        <w:t xml:space="preserve">Figure 1: EOSC Federated “System of Systems”</w:t>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rtl w:val="0"/>
        </w:rPr>
        <w:t xml:space="preserve">The EOSC technical architecture, envisioned as a Federation of Nodes, will be defined by the EOSC Beyond</w:t>
      </w:r>
      <w:r w:rsidDel="00000000" w:rsidR="00000000" w:rsidRPr="00000000">
        <w:rPr>
          <w:vertAlign w:val="superscript"/>
        </w:rPr>
        <w:footnoteReference w:customMarkFollows="0" w:id="7"/>
      </w:r>
      <w:r w:rsidDel="00000000" w:rsidR="00000000" w:rsidRPr="00000000">
        <w:rPr>
          <w:rtl w:val="0"/>
        </w:rPr>
        <w:t xml:space="preserve"> project. It builds on the EOSC Platform architecture introduced by the EOSC Future</w:t>
      </w:r>
      <w:r w:rsidDel="00000000" w:rsidR="00000000" w:rsidRPr="00000000">
        <w:rPr>
          <w:vertAlign w:val="superscript"/>
        </w:rPr>
        <w:footnoteReference w:customMarkFollows="0" w:id="8"/>
      </w:r>
      <w:r w:rsidDel="00000000" w:rsidR="00000000" w:rsidRPr="00000000">
        <w:rPr>
          <w:rtl w:val="0"/>
        </w:rPr>
        <w:t xml:space="preserve"> project, which established an integrated operational environment delivering the EOSC Core and a customizable portfolio of horizontal services. This architecture, implemented in the EOSC EU Node, is structured into four main layers (</w:t>
      </w:r>
      <w:hyperlink w:anchor="bookmark=id.ohyfxe8q07tw">
        <w:r w:rsidDel="00000000" w:rsidR="00000000" w:rsidRPr="00000000">
          <w:rPr>
            <w:b w:val="1"/>
            <w:color w:val="ff9900"/>
            <w:u w:val="single"/>
            <w:rtl w:val="0"/>
          </w:rPr>
          <w:t xml:space="preserve">Figure 2</w:t>
        </w:r>
      </w:hyperlink>
      <w:r w:rsidDel="00000000" w:rsidR="00000000" w:rsidRPr="00000000">
        <w:rPr>
          <w:rtl w:val="0"/>
        </w:rPr>
        <w:t xml:space="preserve">):</w:t>
      </w:r>
    </w:p>
    <w:p w:rsidR="00000000" w:rsidDel="00000000" w:rsidP="00000000" w:rsidRDefault="00000000" w:rsidRPr="00000000" w14:paraId="00000090">
      <w:pPr>
        <w:numPr>
          <w:ilvl w:val="0"/>
          <w:numId w:val="10"/>
        </w:numPr>
        <w:ind w:left="720" w:hanging="360"/>
        <w:rPr>
          <w:u w:val="none"/>
        </w:rPr>
      </w:pPr>
      <w:r w:rsidDel="00000000" w:rsidR="00000000" w:rsidRPr="00000000">
        <w:rPr>
          <w:b w:val="1"/>
          <w:rtl w:val="0"/>
        </w:rPr>
        <w:t xml:space="preserve">EOSC Core</w:t>
      </w:r>
      <w:r w:rsidDel="00000000" w:rsidR="00000000" w:rsidRPr="00000000">
        <w:rPr>
          <w:rtl w:val="0"/>
        </w:rPr>
        <w:t xml:space="preserve"> (green) provides the enabling services required to operate a node within the EOSC Federation. These services include, for example, a catalogue of services and/or research products, a helpdesk, authentication and authorization infrastructure (AAI), monitoring, accounting, and other coordination functions.</w:t>
      </w:r>
      <w:r w:rsidDel="00000000" w:rsidR="00000000" w:rsidRPr="00000000">
        <w:rPr>
          <w:rtl w:val="0"/>
        </w:rPr>
      </w:r>
    </w:p>
    <w:p w:rsidR="00000000" w:rsidDel="00000000" w:rsidP="00000000" w:rsidRDefault="00000000" w:rsidRPr="00000000" w14:paraId="00000091">
      <w:pPr>
        <w:numPr>
          <w:ilvl w:val="0"/>
          <w:numId w:val="10"/>
        </w:numPr>
        <w:ind w:left="720" w:hanging="360"/>
        <w:rPr>
          <w:u w:val="none"/>
        </w:rPr>
      </w:pPr>
      <w:r w:rsidDel="00000000" w:rsidR="00000000" w:rsidRPr="00000000">
        <w:rPr>
          <w:b w:val="1"/>
          <w:rtl w:val="0"/>
        </w:rPr>
        <w:t xml:space="preserve">EOSC Exchange</w:t>
      </w:r>
      <w:r w:rsidDel="00000000" w:rsidR="00000000" w:rsidRPr="00000000">
        <w:rPr>
          <w:rtl w:val="0"/>
        </w:rPr>
        <w:t xml:space="preserve"> (blue) represents the collection of services and resources that EOSC Nodes share with the EOSC Federation, making these federated resources accessible to researchers and other stakeholders across the EOSC ecosystem. </w:t>
      </w:r>
      <w:r w:rsidDel="00000000" w:rsidR="00000000" w:rsidRPr="00000000">
        <w:rPr>
          <w:rtl w:val="0"/>
        </w:rPr>
      </w:r>
    </w:p>
    <w:p w:rsidR="00000000" w:rsidDel="00000000" w:rsidP="00000000" w:rsidRDefault="00000000" w:rsidRPr="00000000" w14:paraId="00000092">
      <w:pPr>
        <w:numPr>
          <w:ilvl w:val="0"/>
          <w:numId w:val="10"/>
        </w:numPr>
        <w:ind w:left="720" w:hanging="360"/>
        <w:rPr>
          <w:u w:val="none"/>
        </w:rPr>
      </w:pPr>
      <w:r w:rsidDel="00000000" w:rsidR="00000000" w:rsidRPr="00000000">
        <w:rPr>
          <w:b w:val="1"/>
          <w:rtl w:val="0"/>
        </w:rPr>
        <w:t xml:space="preserve">EOSC Interoperability Framework</w:t>
      </w:r>
      <w:r w:rsidDel="00000000" w:rsidR="00000000" w:rsidRPr="00000000">
        <w:rPr>
          <w:rtl w:val="0"/>
        </w:rPr>
        <w:t xml:space="preserve"> (light green) defines the guidelines, standards, and best practices that ensure interoperability and composability of resources across the Federation. It acts as the "glue" that connects diverse nodes, enabling seamless collaboration.</w:t>
      </w:r>
      <w:r w:rsidDel="00000000" w:rsidR="00000000" w:rsidRPr="00000000">
        <w:rPr>
          <w:rtl w:val="0"/>
        </w:rPr>
      </w:r>
    </w:p>
    <w:p w:rsidR="00000000" w:rsidDel="00000000" w:rsidP="00000000" w:rsidRDefault="00000000" w:rsidRPr="00000000" w14:paraId="00000093">
      <w:pPr>
        <w:numPr>
          <w:ilvl w:val="0"/>
          <w:numId w:val="10"/>
        </w:numPr>
        <w:ind w:left="720" w:hanging="360"/>
        <w:rPr>
          <w:u w:val="none"/>
        </w:rPr>
      </w:pPr>
      <w:r w:rsidDel="00000000" w:rsidR="00000000" w:rsidRPr="00000000">
        <w:rPr>
          <w:b w:val="1"/>
          <w:rtl w:val="0"/>
        </w:rPr>
        <w:t xml:space="preserve">EOSC Support activities</w:t>
      </w:r>
      <w:r w:rsidDel="00000000" w:rsidR="00000000" w:rsidRPr="00000000">
        <w:rPr>
          <w:rtl w:val="0"/>
        </w:rPr>
        <w:t xml:space="preserve"> (yellow) encompass training, user engagement, and other human-centric activities designed to make EOSC more accessible, user-friendly, and impactful for the research community.</w:t>
      </w:r>
      <w:r w:rsidDel="00000000" w:rsidR="00000000" w:rsidRPr="00000000">
        <w:rPr>
          <w:rtl w:val="0"/>
        </w:rPr>
      </w:r>
    </w:p>
    <w:p w:rsidR="00000000" w:rsidDel="00000000" w:rsidP="00000000" w:rsidRDefault="00000000" w:rsidRPr="00000000" w14:paraId="00000094">
      <w:pPr>
        <w:ind w:firstLine="0"/>
        <w:rPr/>
      </w:pPr>
      <w:r w:rsidDel="00000000" w:rsidR="00000000" w:rsidRPr="00000000">
        <w:rPr>
          <w:rtl w:val="0"/>
        </w:rPr>
      </w:r>
    </w:p>
    <w:p w:rsidR="00000000" w:rsidDel="00000000" w:rsidP="00000000" w:rsidRDefault="00000000" w:rsidRPr="00000000" w14:paraId="00000095">
      <w:pPr>
        <w:spacing w:line="276" w:lineRule="auto"/>
        <w:ind w:firstLine="0"/>
        <w:jc w:val="center"/>
        <w:rPr>
          <w:rFonts w:ascii="Arial" w:cs="Arial" w:eastAsia="Arial" w:hAnsi="Arial"/>
          <w:b w:val="1"/>
          <w:color w:val="000000"/>
        </w:rPr>
      </w:pPr>
      <w:r w:rsidDel="00000000" w:rsidR="00000000" w:rsidRPr="00000000">
        <w:rPr>
          <w:rFonts w:ascii="Arial" w:cs="Arial" w:eastAsia="Arial" w:hAnsi="Arial"/>
          <w:b w:val="1"/>
          <w:color w:val="000000"/>
        </w:rPr>
        <w:drawing>
          <wp:inline distB="114300" distT="114300" distL="114300" distR="114300">
            <wp:extent cx="5731200" cy="3251200"/>
            <wp:effectExtent b="0" l="0" r="0" t="0"/>
            <wp:docPr id="1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731200" cy="3251200"/>
                    </a:xfrm>
                    <a:prstGeom prst="rect"/>
                    <a:ln/>
                  </pic:spPr>
                </pic:pic>
              </a:graphicData>
            </a:graphic>
          </wp:inline>
        </w:drawing>
      </w:r>
      <w:r w:rsidDel="00000000" w:rsidR="00000000" w:rsidRPr="00000000">
        <w:rPr>
          <w:rtl w:val="0"/>
        </w:rPr>
      </w:r>
    </w:p>
    <w:bookmarkStart w:colFirst="0" w:colLast="0" w:name="bookmark=id.ohyfxe8q07tw" w:id="10"/>
    <w:bookmarkEnd w:id="10"/>
    <w:p w:rsidR="00000000" w:rsidDel="00000000" w:rsidP="00000000" w:rsidRDefault="00000000" w:rsidRPr="00000000" w14:paraId="00000096">
      <w:pPr>
        <w:pStyle w:val="Heading4"/>
        <w:spacing w:line="276" w:lineRule="auto"/>
        <w:ind w:firstLine="0"/>
        <w:jc w:val="center"/>
        <w:rPr/>
      </w:pPr>
      <w:bookmarkStart w:colFirst="0" w:colLast="0" w:name="_heading=h.fdcqfb2134di" w:id="11"/>
      <w:bookmarkEnd w:id="11"/>
      <w:r w:rsidDel="00000000" w:rsidR="00000000" w:rsidRPr="00000000">
        <w:rPr>
          <w:rtl w:val="0"/>
        </w:rPr>
        <w:t xml:space="preserve">Figure 2: EOSC Platform concept from EOSC Future</w:t>
      </w:r>
    </w:p>
    <w:p w:rsidR="00000000" w:rsidDel="00000000" w:rsidP="00000000" w:rsidRDefault="00000000" w:rsidRPr="00000000" w14:paraId="00000097">
      <w:pPr>
        <w:ind w:left="0" w:firstLine="0"/>
        <w:jc w:val="left"/>
        <w:rPr/>
      </w:pPr>
      <w:r w:rsidDel="00000000" w:rsidR="00000000" w:rsidRPr="00000000">
        <w:rPr>
          <w:rtl w:val="0"/>
        </w:rPr>
      </w:r>
    </w:p>
    <w:p w:rsidR="00000000" w:rsidDel="00000000" w:rsidP="00000000" w:rsidRDefault="00000000" w:rsidRPr="00000000" w14:paraId="00000098">
      <w:pPr>
        <w:pStyle w:val="Heading3"/>
        <w:numPr>
          <w:ilvl w:val="2"/>
          <w:numId w:val="2"/>
        </w:numPr>
        <w:ind w:left="850.3937007874017" w:hanging="360"/>
        <w:rPr>
          <w:u w:val="none"/>
        </w:rPr>
      </w:pPr>
      <w:bookmarkStart w:colFirst="0" w:colLast="0" w:name="_heading=h.2s8eyo1" w:id="12"/>
      <w:bookmarkEnd w:id="12"/>
      <w:r w:rsidDel="00000000" w:rsidR="00000000" w:rsidRPr="00000000">
        <w:rPr>
          <w:rtl w:val="0"/>
        </w:rPr>
        <w:t xml:space="preserve">EOSC EU Node</w:t>
      </w:r>
      <w:r w:rsidDel="00000000" w:rsidR="00000000" w:rsidRPr="00000000">
        <w:rPr>
          <w:rtl w:val="0"/>
        </w:rPr>
      </w:r>
    </w:p>
    <w:p w:rsidR="00000000" w:rsidDel="00000000" w:rsidP="00000000" w:rsidRDefault="00000000" w:rsidRPr="00000000" w14:paraId="00000099">
      <w:pPr>
        <w:ind w:firstLine="0"/>
        <w:rPr/>
      </w:pPr>
      <w:r w:rsidDel="00000000" w:rsidR="00000000" w:rsidRPr="00000000">
        <w:rPr>
          <w:rtl w:val="0"/>
        </w:rPr>
        <w:t xml:space="preserve">The EOSC EU Node serves as a blueprint within the emerging EOSC Federation, inspiring the development of future EOSC Nodes and laying the framework for a unified and federated European Open Science Cloud ecosystem. Officially unveiled at the EOSC Symposium in October 2024, the EOSC EU Node is the first operational node within the Federation, providing a comprehensive suite of services, technical capabilities, and federating functions designed to support European researchers and scientific communities, in line with the principle of FAIR data and open science. Owned by the European Commission, the EOSC EU Node is hosted and implemented by third-party sub-contractors selected through a public procurement tender titled “Managed Services for the European Open Science Cloud Platform”</w:t>
      </w:r>
      <w:r w:rsidDel="00000000" w:rsidR="00000000" w:rsidRPr="00000000">
        <w:rPr>
          <w:vertAlign w:val="superscript"/>
        </w:rPr>
        <w:footnoteReference w:customMarkFollows="0" w:id="9"/>
      </w:r>
      <w:r w:rsidDel="00000000" w:rsidR="00000000" w:rsidRPr="00000000">
        <w:rPr>
          <w:rtl w:val="0"/>
        </w:rPr>
        <w:t xml:space="preserve">. The tender was organised in three lots (</w:t>
      </w:r>
      <w:hyperlink w:anchor="bookmark=id.ip4aeiq61l7w">
        <w:r w:rsidDel="00000000" w:rsidR="00000000" w:rsidRPr="00000000">
          <w:rPr>
            <w:b w:val="1"/>
            <w:color w:val="ff9900"/>
            <w:u w:val="single"/>
            <w:rtl w:val="0"/>
          </w:rPr>
          <w:t xml:space="preserve">Figure 3</w:t>
        </w:r>
      </w:hyperlink>
      <w:r w:rsidDel="00000000" w:rsidR="00000000" w:rsidRPr="00000000">
        <w:rPr>
          <w:rtl w:val="0"/>
        </w:rPr>
        <w:t xml:space="preserve">):</w:t>
      </w:r>
    </w:p>
    <w:p w:rsidR="00000000" w:rsidDel="00000000" w:rsidP="00000000" w:rsidRDefault="00000000" w:rsidRPr="00000000" w14:paraId="0000009A">
      <w:pPr>
        <w:numPr>
          <w:ilvl w:val="0"/>
          <w:numId w:val="3"/>
        </w:numPr>
        <w:ind w:left="720" w:hanging="360"/>
        <w:rPr>
          <w:u w:val="none"/>
        </w:rPr>
      </w:pPr>
      <w:r w:rsidDel="00000000" w:rsidR="00000000" w:rsidRPr="00000000">
        <w:rPr>
          <w:rtl w:val="0"/>
        </w:rPr>
        <w:t xml:space="preserve">Core Federation Services for the EOSC EU Node: provide managed services for the core components of the EOSC EU Node including functions such as: the Web Portal Front Office, the Resource Catalogues and Registry Services, the Application Workflow Management engine, the Federated Identity Management, the Monitoring and Accounting function, and the overall Service Management System and service integration.</w:t>
      </w:r>
      <w:r w:rsidDel="00000000" w:rsidR="00000000" w:rsidRPr="00000000">
        <w:rPr>
          <w:rtl w:val="0"/>
        </w:rPr>
      </w:r>
    </w:p>
    <w:p w:rsidR="00000000" w:rsidDel="00000000" w:rsidP="00000000" w:rsidRDefault="00000000" w:rsidRPr="00000000" w14:paraId="0000009B">
      <w:pPr>
        <w:numPr>
          <w:ilvl w:val="0"/>
          <w:numId w:val="3"/>
        </w:numPr>
        <w:ind w:left="720" w:hanging="360"/>
        <w:rPr>
          <w:u w:val="none"/>
        </w:rPr>
      </w:pPr>
      <w:r w:rsidDel="00000000" w:rsidR="00000000" w:rsidRPr="00000000">
        <w:rPr>
          <w:rtl w:val="0"/>
        </w:rPr>
        <w:t xml:space="preserve">Exchange Infrastructure Services for the EOSC EU Node: provide fully managed services for the infrastructure services component of the EOSC EU Node including Managed Container service, Managed Compute (Virtual Machine) service and Managed Bulk Data Transfer service.</w:t>
      </w:r>
      <w:r w:rsidDel="00000000" w:rsidR="00000000" w:rsidRPr="00000000">
        <w:rPr>
          <w:rtl w:val="0"/>
        </w:rPr>
      </w:r>
    </w:p>
    <w:p w:rsidR="00000000" w:rsidDel="00000000" w:rsidP="00000000" w:rsidRDefault="00000000" w:rsidRPr="00000000" w14:paraId="0000009C">
      <w:pPr>
        <w:numPr>
          <w:ilvl w:val="0"/>
          <w:numId w:val="3"/>
        </w:numPr>
        <w:ind w:left="720" w:hanging="360"/>
        <w:rPr>
          <w:u w:val="none"/>
        </w:rPr>
      </w:pPr>
      <w:r w:rsidDel="00000000" w:rsidR="00000000" w:rsidRPr="00000000">
        <w:rPr>
          <w:rtl w:val="0"/>
        </w:rPr>
        <w:t xml:space="preserve">Exchange Application Services for the EOSC EU Node: provide fully managed services for the application services component of the EOSC EU Node, including Managed File Synchronisation and Sharing service, Interactive Notebooks service, and Managed Large File Transfer service for end-users.</w:t>
      </w:r>
      <w:r w:rsidDel="00000000" w:rsidR="00000000" w:rsidRPr="00000000">
        <w:rPr>
          <w:rtl w:val="0"/>
        </w:rPr>
      </w:r>
    </w:p>
    <w:p w:rsidR="00000000" w:rsidDel="00000000" w:rsidP="00000000" w:rsidRDefault="00000000" w:rsidRPr="00000000" w14:paraId="0000009D">
      <w:pPr>
        <w:ind w:left="720" w:firstLine="0"/>
        <w:rPr/>
      </w:pPr>
      <w:r w:rsidDel="00000000" w:rsidR="00000000" w:rsidRPr="00000000">
        <w:rPr>
          <w:rtl w:val="0"/>
        </w:rPr>
      </w:r>
    </w:p>
    <w:p w:rsidR="00000000" w:rsidDel="00000000" w:rsidP="00000000" w:rsidRDefault="00000000" w:rsidRPr="00000000" w14:paraId="0000009E">
      <w:pPr>
        <w:jc w:val="center"/>
        <w:rPr/>
      </w:pPr>
      <w:r w:rsidDel="00000000" w:rsidR="00000000" w:rsidRPr="00000000">
        <w:rPr/>
        <w:drawing>
          <wp:inline distB="114300" distT="114300" distL="114300" distR="114300">
            <wp:extent cx="4759200" cy="3458638"/>
            <wp:effectExtent b="0" l="0" r="0" t="0"/>
            <wp:docPr descr="The EOSC architecture diagram" id="13" name="image5.png"/>
            <a:graphic>
              <a:graphicData uri="http://schemas.openxmlformats.org/drawingml/2006/picture">
                <pic:pic>
                  <pic:nvPicPr>
                    <pic:cNvPr descr="The EOSC architecture diagram" id="0" name="image5.png"/>
                    <pic:cNvPicPr preferRelativeResize="0"/>
                  </pic:nvPicPr>
                  <pic:blipFill>
                    <a:blip r:embed="rId13"/>
                    <a:srcRect b="1783" l="0" r="0" t="1784"/>
                    <a:stretch>
                      <a:fillRect/>
                    </a:stretch>
                  </pic:blipFill>
                  <pic:spPr>
                    <a:xfrm>
                      <a:off x="0" y="0"/>
                      <a:ext cx="4759200" cy="3458638"/>
                    </a:xfrm>
                    <a:prstGeom prst="rect"/>
                    <a:ln/>
                  </pic:spPr>
                </pic:pic>
              </a:graphicData>
            </a:graphic>
          </wp:inline>
        </w:drawing>
      </w:r>
      <w:r w:rsidDel="00000000" w:rsidR="00000000" w:rsidRPr="00000000">
        <w:rPr>
          <w:rtl w:val="0"/>
        </w:rPr>
      </w:r>
    </w:p>
    <w:bookmarkStart w:colFirst="0" w:colLast="0" w:name="bookmark=id.ip4aeiq61l7w" w:id="13"/>
    <w:bookmarkEnd w:id="13"/>
    <w:p w:rsidR="00000000" w:rsidDel="00000000" w:rsidP="00000000" w:rsidRDefault="00000000" w:rsidRPr="00000000" w14:paraId="0000009F">
      <w:pPr>
        <w:pStyle w:val="Heading4"/>
        <w:ind w:firstLine="0"/>
        <w:jc w:val="center"/>
        <w:rPr/>
      </w:pPr>
      <w:bookmarkStart w:colFirst="0" w:colLast="0" w:name="_heading=h.e9z03ws0phn5" w:id="14"/>
      <w:bookmarkEnd w:id="14"/>
      <w:r w:rsidDel="00000000" w:rsidR="00000000" w:rsidRPr="00000000">
        <w:rPr>
          <w:rtl w:val="0"/>
        </w:rPr>
        <w:t xml:space="preserve">Figure 3: The EOSC EU Node </w:t>
      </w:r>
      <w:r w:rsidDel="00000000" w:rsidR="00000000" w:rsidRPr="00000000">
        <w:rPr>
          <w:color w:val="1e858b"/>
          <w:rtl w:val="0"/>
        </w:rPr>
        <w:t xml:space="preserve">LOT1</w:t>
      </w:r>
      <w:r w:rsidDel="00000000" w:rsidR="00000000" w:rsidRPr="00000000">
        <w:rPr>
          <w:rtl w:val="0"/>
        </w:rPr>
        <w:t xml:space="preserve">, </w:t>
      </w:r>
      <w:r w:rsidDel="00000000" w:rsidR="00000000" w:rsidRPr="00000000">
        <w:rPr>
          <w:color w:val="4bc5de"/>
          <w:rtl w:val="0"/>
        </w:rPr>
        <w:t xml:space="preserve">LOT2</w:t>
      </w:r>
      <w:r w:rsidDel="00000000" w:rsidR="00000000" w:rsidRPr="00000000">
        <w:rPr>
          <w:rtl w:val="0"/>
        </w:rPr>
        <w:t xml:space="preserve">, </w:t>
      </w:r>
      <w:r w:rsidDel="00000000" w:rsidR="00000000" w:rsidRPr="00000000">
        <w:rPr>
          <w:color w:val="ec8d2f"/>
          <w:rtl w:val="0"/>
        </w:rPr>
        <w:t xml:space="preserve">LOT3</w:t>
      </w:r>
      <w:r w:rsidDel="00000000" w:rsidR="00000000" w:rsidRPr="00000000">
        <w:rPr>
          <w:rtl w:val="0"/>
        </w:rPr>
        <w:t xml:space="preserve"> structure</w:t>
      </w:r>
    </w:p>
    <w:p w:rsidR="00000000" w:rsidDel="00000000" w:rsidP="00000000" w:rsidRDefault="00000000" w:rsidRPr="00000000" w14:paraId="000000A0">
      <w:pPr>
        <w:ind w:firstLine="0"/>
        <w:rPr/>
      </w:pPr>
      <w:r w:rsidDel="00000000" w:rsidR="00000000" w:rsidRPr="00000000">
        <w:rPr>
          <w:rtl w:val="0"/>
        </w:rPr>
      </w:r>
    </w:p>
    <w:p w:rsidR="00000000" w:rsidDel="00000000" w:rsidP="00000000" w:rsidRDefault="00000000" w:rsidRPr="00000000" w14:paraId="000000A1">
      <w:pPr>
        <w:ind w:firstLine="0"/>
        <w:rPr/>
      </w:pPr>
      <w:r w:rsidDel="00000000" w:rsidR="00000000" w:rsidRPr="00000000">
        <w:rPr>
          <w:rtl w:val="0"/>
        </w:rPr>
        <w:t xml:space="preserve">The EOSC Tripartite Governance has initiated a process for the sequencing of the first wave of potential candidate EOSC Nodes (</w:t>
      </w:r>
      <w:hyperlink w:anchor="bookmark=id.3jfc02xl1uvc">
        <w:r w:rsidDel="00000000" w:rsidR="00000000" w:rsidRPr="00000000">
          <w:rPr>
            <w:b w:val="1"/>
            <w:color w:val="ff9900"/>
            <w:u w:val="single"/>
            <w:rtl w:val="0"/>
          </w:rPr>
          <w:t xml:space="preserve">Table 1</w:t>
        </w:r>
      </w:hyperlink>
      <w:r w:rsidDel="00000000" w:rsidR="00000000" w:rsidRPr="00000000">
        <w:rPr>
          <w:rtl w:val="0"/>
        </w:rPr>
        <w:t xml:space="preserve">). The final selection, comprising approximately ten nodes, is expected to be announced in the first half of 2025. This integration, which includes thematic, national and organisational nodes, such as Blue-Cloud, will mark the formal establishment of the EOSC Federation. </w:t>
      </w:r>
    </w:p>
    <w:p w:rsidR="00000000" w:rsidDel="00000000" w:rsidP="00000000" w:rsidRDefault="00000000" w:rsidRPr="00000000" w14:paraId="000000A2">
      <w:pPr>
        <w:ind w:firstLine="0"/>
        <w:rPr/>
      </w:pPr>
      <w:r w:rsidDel="00000000" w:rsidR="00000000" w:rsidRPr="00000000">
        <w:rPr>
          <w:rtl w:val="0"/>
        </w:rPr>
        <w:t xml:space="preserve">Meanwhile, the purpose, structure, governance, architecture and operations of the EOSC Federation are being collaboratively addressed through open consultations, meetings, events and sprints. The resulting insights will be documented in the EOSC Federation Handbook</w:t>
      </w:r>
      <w:r w:rsidDel="00000000" w:rsidR="00000000" w:rsidRPr="00000000">
        <w:rPr>
          <w:vertAlign w:val="superscript"/>
        </w:rPr>
        <w:footnoteReference w:customMarkFollows="0" w:id="10"/>
      </w:r>
      <w:r w:rsidDel="00000000" w:rsidR="00000000" w:rsidRPr="00000000">
        <w:rPr>
          <w:rtl w:val="0"/>
        </w:rPr>
        <w:t xml:space="preserve">, serving as a comprehensive reference for the ecosystem’s future development.</w:t>
      </w:r>
    </w:p>
    <w:p w:rsidR="00000000" w:rsidDel="00000000" w:rsidP="00000000" w:rsidRDefault="00000000" w:rsidRPr="00000000" w14:paraId="000000A3">
      <w:pPr>
        <w:ind w:firstLine="0"/>
        <w:rPr/>
      </w:pPr>
      <w:r w:rsidDel="00000000" w:rsidR="00000000" w:rsidRPr="00000000">
        <w:rPr>
          <w:rtl w:val="0"/>
        </w:rPr>
      </w:r>
    </w:p>
    <w:bookmarkStart w:colFirst="0" w:colLast="0" w:name="bookmark=id.3jfc02xl1uvc" w:id="15"/>
    <w:bookmarkEnd w:id="15"/>
    <w:p w:rsidR="00000000" w:rsidDel="00000000" w:rsidP="00000000" w:rsidRDefault="00000000" w:rsidRPr="00000000" w14:paraId="000000A4">
      <w:pPr>
        <w:pStyle w:val="Heading5"/>
        <w:ind w:firstLine="0"/>
        <w:rPr/>
      </w:pPr>
      <w:bookmarkStart w:colFirst="0" w:colLast="0" w:name="_heading=h.o6pvwb655qpv" w:id="16"/>
      <w:bookmarkEnd w:id="16"/>
      <w:r w:rsidDel="00000000" w:rsidR="00000000" w:rsidRPr="00000000">
        <w:rPr>
          <w:rtl w:val="0"/>
        </w:rPr>
        <w:t xml:space="preserve">Table 1: First wave of potential candidate EOSC Nodes</w:t>
      </w:r>
      <w:r w:rsidDel="00000000" w:rsidR="00000000" w:rsidRPr="00000000">
        <w:rPr>
          <w:vertAlign w:val="superscript"/>
        </w:rPr>
        <w:footnoteReference w:customMarkFollows="0" w:id="11"/>
      </w:r>
      <w:r w:rsidDel="00000000" w:rsidR="00000000" w:rsidRPr="00000000">
        <w:rPr>
          <w:rtl w:val="0"/>
        </w:rPr>
      </w:r>
    </w:p>
    <w:sdt>
      <w:sdtPr>
        <w:lock w:val="contentLocked"/>
        <w:tag w:val="goog_rdk_0"/>
      </w:sdtPr>
      <w:sdtContent>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028691"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firstLine="0"/>
                  <w:jc w:val="left"/>
                  <w:rPr>
                    <w:color w:val="ffffff"/>
                  </w:rPr>
                </w:pPr>
                <w:r w:rsidDel="00000000" w:rsidR="00000000" w:rsidRPr="00000000">
                  <w:rPr>
                    <w:color w:val="ffffff"/>
                    <w:rtl w:val="0"/>
                  </w:rPr>
                  <w:t xml:space="preserve">First-stage dialogue Meeting 1</w:t>
                </w:r>
              </w:p>
            </w:tc>
            <w:tc>
              <w:tcPr>
                <w:shd w:fill="028691"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firstLine="0"/>
                  <w:jc w:val="left"/>
                  <w:rPr>
                    <w:color w:val="ffffff"/>
                  </w:rPr>
                </w:pPr>
                <w:r w:rsidDel="00000000" w:rsidR="00000000" w:rsidRPr="00000000">
                  <w:rPr>
                    <w:color w:val="ffffff"/>
                    <w:rtl w:val="0"/>
                  </w:rPr>
                  <w:t xml:space="preserve">First-stage dialogue Meeting 2</w:t>
                </w:r>
              </w:p>
            </w:tc>
            <w:tc>
              <w:tcPr>
                <w:shd w:fill="028691"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firstLine="0"/>
                  <w:jc w:val="left"/>
                  <w:rPr>
                    <w:color w:val="ffffff"/>
                  </w:rPr>
                </w:pPr>
                <w:r w:rsidDel="00000000" w:rsidR="00000000" w:rsidRPr="00000000">
                  <w:rPr>
                    <w:color w:val="ffffff"/>
                    <w:rtl w:val="0"/>
                  </w:rPr>
                  <w:t xml:space="preserve">First-stage dialogue Meeting 3</w:t>
                </w:r>
              </w:p>
            </w:tc>
            <w:tc>
              <w:tcPr>
                <w:shd w:fill="028691"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firstLine="0"/>
                  <w:jc w:val="left"/>
                  <w:rPr>
                    <w:color w:val="ffffff"/>
                  </w:rPr>
                </w:pPr>
                <w:r w:rsidDel="00000000" w:rsidR="00000000" w:rsidRPr="00000000">
                  <w:rPr>
                    <w:color w:val="ffffff"/>
                    <w:rtl w:val="0"/>
                  </w:rPr>
                  <w:t xml:space="preserve">First-stage dialogue Meeting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firstLine="0"/>
                  <w:jc w:val="left"/>
                  <w:rPr/>
                </w:pPr>
                <w:r w:rsidDel="00000000" w:rsidR="00000000" w:rsidRPr="00000000">
                  <w:rPr>
                    <w:rtl w:val="0"/>
                  </w:rPr>
                  <w:t xml:space="preserve">ACTRIS ERIC</w:t>
                </w:r>
              </w:p>
              <w:p w:rsidR="00000000" w:rsidDel="00000000" w:rsidP="00000000" w:rsidRDefault="00000000" w:rsidRPr="00000000" w14:paraId="000000AA">
                <w:pPr>
                  <w:widowControl w:val="0"/>
                  <w:spacing w:line="240" w:lineRule="auto"/>
                  <w:ind w:firstLine="0"/>
                  <w:jc w:val="left"/>
                  <w:rPr/>
                </w:pPr>
                <w:r w:rsidDel="00000000" w:rsidR="00000000" w:rsidRPr="00000000">
                  <w:rPr>
                    <w:rtl w:val="0"/>
                  </w:rPr>
                  <w:t xml:space="preserve">ARIADNE RI</w:t>
                </w:r>
              </w:p>
              <w:p w:rsidR="00000000" w:rsidDel="00000000" w:rsidP="00000000" w:rsidRDefault="00000000" w:rsidRPr="00000000" w14:paraId="000000AB">
                <w:pPr>
                  <w:widowControl w:val="0"/>
                  <w:spacing w:line="240" w:lineRule="auto"/>
                  <w:ind w:firstLine="0"/>
                  <w:jc w:val="left"/>
                  <w:rPr/>
                </w:pPr>
                <w:r w:rsidDel="00000000" w:rsidR="00000000" w:rsidRPr="00000000">
                  <w:rPr>
                    <w:rtl w:val="0"/>
                  </w:rPr>
                  <w:t xml:space="preserve">CERN</w:t>
                </w:r>
              </w:p>
              <w:p w:rsidR="00000000" w:rsidDel="00000000" w:rsidP="00000000" w:rsidRDefault="00000000" w:rsidRPr="00000000" w14:paraId="000000AC">
                <w:pPr>
                  <w:widowControl w:val="0"/>
                  <w:spacing w:line="240" w:lineRule="auto"/>
                  <w:ind w:firstLine="0"/>
                  <w:jc w:val="left"/>
                  <w:rPr/>
                </w:pPr>
                <w:r w:rsidDel="00000000" w:rsidR="00000000" w:rsidRPr="00000000">
                  <w:rPr>
                    <w:rtl w:val="0"/>
                  </w:rPr>
                  <w:t xml:space="preserve">CLARIN ERIC</w:t>
                </w:r>
              </w:p>
              <w:p w:rsidR="00000000" w:rsidDel="00000000" w:rsidP="00000000" w:rsidRDefault="00000000" w:rsidRPr="00000000" w14:paraId="000000AD">
                <w:pPr>
                  <w:widowControl w:val="0"/>
                  <w:spacing w:line="240" w:lineRule="auto"/>
                  <w:ind w:firstLine="0"/>
                  <w:jc w:val="left"/>
                  <w:rPr/>
                </w:pPr>
                <w:r w:rsidDel="00000000" w:rsidR="00000000" w:rsidRPr="00000000">
                  <w:rPr>
                    <w:rtl w:val="0"/>
                  </w:rPr>
                  <w:t xml:space="preserve">CNR (Blue-Cloud)</w:t>
                </w:r>
              </w:p>
              <w:p w:rsidR="00000000" w:rsidDel="00000000" w:rsidP="00000000" w:rsidRDefault="00000000" w:rsidRPr="00000000" w14:paraId="000000AE">
                <w:pPr>
                  <w:widowControl w:val="0"/>
                  <w:spacing w:line="240" w:lineRule="auto"/>
                  <w:ind w:firstLine="0"/>
                  <w:jc w:val="left"/>
                  <w:rPr/>
                </w:pPr>
                <w:r w:rsidDel="00000000" w:rsidR="00000000" w:rsidRPr="00000000">
                  <w:rPr>
                    <w:rtl w:val="0"/>
                  </w:rPr>
                  <w:t xml:space="preserve">CNRS-LAPP (ESCAPE)</w:t>
                </w:r>
              </w:p>
              <w:p w:rsidR="00000000" w:rsidDel="00000000" w:rsidP="00000000" w:rsidRDefault="00000000" w:rsidRPr="00000000" w14:paraId="000000AF">
                <w:pPr>
                  <w:widowControl w:val="0"/>
                  <w:spacing w:line="240" w:lineRule="auto"/>
                  <w:ind w:firstLine="0"/>
                  <w:jc w:val="left"/>
                  <w:rPr/>
                </w:pPr>
                <w:r w:rsidDel="00000000" w:rsidR="00000000" w:rsidRPr="00000000">
                  <w:rPr>
                    <w:rtl w:val="0"/>
                  </w:rPr>
                  <w:t xml:space="preserve">ESRF (PaNOSC)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firstLine="0"/>
                  <w:jc w:val="left"/>
                  <w:rPr/>
                </w:pPr>
                <w:r w:rsidDel="00000000" w:rsidR="00000000" w:rsidRPr="00000000">
                  <w:rPr>
                    <w:rtl w:val="0"/>
                  </w:rPr>
                  <w:t xml:space="preserve">BITP</w:t>
                </w:r>
              </w:p>
              <w:p w:rsidR="00000000" w:rsidDel="00000000" w:rsidP="00000000" w:rsidRDefault="00000000" w:rsidRPr="00000000" w14:paraId="000000B1">
                <w:pPr>
                  <w:widowControl w:val="0"/>
                  <w:spacing w:line="240" w:lineRule="auto"/>
                  <w:ind w:firstLine="0"/>
                  <w:jc w:val="left"/>
                  <w:rPr/>
                </w:pPr>
                <w:r w:rsidDel="00000000" w:rsidR="00000000" w:rsidRPr="00000000">
                  <w:rPr>
                    <w:rtl w:val="0"/>
                  </w:rPr>
                  <w:t xml:space="preserve">CNRS (Data Terra)</w:t>
                </w:r>
              </w:p>
              <w:p w:rsidR="00000000" w:rsidDel="00000000" w:rsidP="00000000" w:rsidRDefault="00000000" w:rsidRPr="00000000" w14:paraId="000000B2">
                <w:pPr>
                  <w:widowControl w:val="0"/>
                  <w:spacing w:line="240" w:lineRule="auto"/>
                  <w:ind w:firstLine="0"/>
                  <w:jc w:val="left"/>
                  <w:rPr/>
                </w:pPr>
                <w:r w:rsidDel="00000000" w:rsidR="00000000" w:rsidRPr="00000000">
                  <w:rPr>
                    <w:rtl w:val="0"/>
                  </w:rPr>
                  <w:t xml:space="preserve">CVTI SR</w:t>
                </w:r>
              </w:p>
              <w:p w:rsidR="00000000" w:rsidDel="00000000" w:rsidP="00000000" w:rsidRDefault="00000000" w:rsidRPr="00000000" w14:paraId="000000B3">
                <w:pPr>
                  <w:widowControl w:val="0"/>
                  <w:spacing w:line="240" w:lineRule="auto"/>
                  <w:ind w:firstLine="0"/>
                  <w:jc w:val="left"/>
                  <w:rPr/>
                </w:pPr>
                <w:r w:rsidDel="00000000" w:rsidR="00000000" w:rsidRPr="00000000">
                  <w:rPr>
                    <w:rtl w:val="0"/>
                  </w:rPr>
                  <w:t xml:space="preserve">Foundation ICSC</w:t>
                </w:r>
              </w:p>
              <w:p w:rsidR="00000000" w:rsidDel="00000000" w:rsidP="00000000" w:rsidRDefault="00000000" w:rsidRPr="00000000" w14:paraId="000000B4">
                <w:pPr>
                  <w:widowControl w:val="0"/>
                  <w:spacing w:line="240" w:lineRule="auto"/>
                  <w:ind w:firstLine="0"/>
                  <w:jc w:val="left"/>
                  <w:rPr/>
                </w:pPr>
                <w:r w:rsidDel="00000000" w:rsidR="00000000" w:rsidRPr="00000000">
                  <w:rPr>
                    <w:rtl w:val="0"/>
                  </w:rPr>
                  <w:t xml:space="preserve">HUN REN</w:t>
                </w:r>
              </w:p>
              <w:p w:rsidR="00000000" w:rsidDel="00000000" w:rsidP="00000000" w:rsidRDefault="00000000" w:rsidRPr="00000000" w14:paraId="000000B5">
                <w:pPr>
                  <w:widowControl w:val="0"/>
                  <w:spacing w:line="240" w:lineRule="auto"/>
                  <w:ind w:firstLine="0"/>
                  <w:jc w:val="left"/>
                  <w:rPr/>
                </w:pPr>
                <w:r w:rsidDel="00000000" w:rsidR="00000000" w:rsidRPr="00000000">
                  <w:rPr>
                    <w:rtl w:val="0"/>
                  </w:rPr>
                  <w:t xml:space="preserve">Lux NDS</w:t>
                </w:r>
              </w:p>
              <w:p w:rsidR="00000000" w:rsidDel="00000000" w:rsidP="00000000" w:rsidRDefault="00000000" w:rsidRPr="00000000" w14:paraId="000000B6">
                <w:pPr>
                  <w:widowControl w:val="0"/>
                  <w:spacing w:line="240" w:lineRule="auto"/>
                  <w:ind w:firstLine="0"/>
                  <w:jc w:val="left"/>
                  <w:rPr/>
                </w:pPr>
                <w:r w:rsidDel="00000000" w:rsidR="00000000" w:rsidRPr="00000000">
                  <w:rPr>
                    <w:rtl w:val="0"/>
                  </w:rPr>
                  <w:t xml:space="preserve">NCN</w:t>
                </w:r>
              </w:p>
              <w:p w:rsidR="00000000" w:rsidDel="00000000" w:rsidP="00000000" w:rsidRDefault="00000000" w:rsidRPr="00000000" w14:paraId="000000B7">
                <w:pPr>
                  <w:widowControl w:val="0"/>
                  <w:spacing w:line="240" w:lineRule="auto"/>
                  <w:ind w:firstLine="0"/>
                  <w:jc w:val="left"/>
                  <w:rPr/>
                </w:pPr>
                <w:r w:rsidDel="00000000" w:rsidR="00000000" w:rsidRPr="00000000">
                  <w:rPr>
                    <w:rtl w:val="0"/>
                  </w:rPr>
                  <w:t xml:space="preserve">NFDI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firstLine="0"/>
                  <w:jc w:val="left"/>
                  <w:rPr/>
                </w:pPr>
                <w:r w:rsidDel="00000000" w:rsidR="00000000" w:rsidRPr="00000000">
                  <w:rPr>
                    <w:rtl w:val="0"/>
                  </w:rPr>
                  <w:t xml:space="preserve">ACOnet / EOSC Support Office Austria</w:t>
                </w:r>
              </w:p>
              <w:p w:rsidR="00000000" w:rsidDel="00000000" w:rsidP="00000000" w:rsidRDefault="00000000" w:rsidRPr="00000000" w14:paraId="000000B9">
                <w:pPr>
                  <w:widowControl w:val="0"/>
                  <w:spacing w:line="240" w:lineRule="auto"/>
                  <w:ind w:firstLine="0"/>
                  <w:jc w:val="left"/>
                  <w:rPr/>
                </w:pPr>
                <w:r w:rsidDel="00000000" w:rsidR="00000000" w:rsidRPr="00000000">
                  <w:rPr>
                    <w:rtl w:val="0"/>
                  </w:rPr>
                  <w:t xml:space="preserve">ARNES</w:t>
                </w:r>
              </w:p>
              <w:p w:rsidR="00000000" w:rsidDel="00000000" w:rsidP="00000000" w:rsidRDefault="00000000" w:rsidRPr="00000000" w14:paraId="000000BA">
                <w:pPr>
                  <w:widowControl w:val="0"/>
                  <w:spacing w:line="240" w:lineRule="auto"/>
                  <w:ind w:firstLine="0"/>
                  <w:jc w:val="left"/>
                  <w:rPr/>
                </w:pPr>
                <w:r w:rsidDel="00000000" w:rsidR="00000000" w:rsidRPr="00000000">
                  <w:rPr>
                    <w:rtl w:val="0"/>
                  </w:rPr>
                  <w:t xml:space="preserve">CSC – IT Centre for Science</w:t>
                </w:r>
              </w:p>
              <w:p w:rsidR="00000000" w:rsidDel="00000000" w:rsidP="00000000" w:rsidRDefault="00000000" w:rsidRPr="00000000" w14:paraId="000000BB">
                <w:pPr>
                  <w:widowControl w:val="0"/>
                  <w:spacing w:line="240" w:lineRule="auto"/>
                  <w:ind w:firstLine="0"/>
                  <w:jc w:val="left"/>
                  <w:rPr/>
                </w:pPr>
                <w:r w:rsidDel="00000000" w:rsidR="00000000" w:rsidRPr="00000000">
                  <w:rPr>
                    <w:rtl w:val="0"/>
                  </w:rPr>
                  <w:t xml:space="preserve">DeiC</w:t>
                </w:r>
              </w:p>
              <w:p w:rsidR="00000000" w:rsidDel="00000000" w:rsidP="00000000" w:rsidRDefault="00000000" w:rsidRPr="00000000" w14:paraId="000000BC">
                <w:pPr>
                  <w:widowControl w:val="0"/>
                  <w:spacing w:line="240" w:lineRule="auto"/>
                  <w:ind w:firstLine="0"/>
                  <w:jc w:val="left"/>
                  <w:rPr/>
                </w:pPr>
                <w:r w:rsidDel="00000000" w:rsidR="00000000" w:rsidRPr="00000000">
                  <w:rPr>
                    <w:rtl w:val="0"/>
                  </w:rPr>
                  <w:t xml:space="preserve">EUDAT</w:t>
                </w:r>
              </w:p>
              <w:p w:rsidR="00000000" w:rsidDel="00000000" w:rsidP="00000000" w:rsidRDefault="00000000" w:rsidRPr="00000000" w14:paraId="000000BD">
                <w:pPr>
                  <w:widowControl w:val="0"/>
                  <w:spacing w:line="240" w:lineRule="auto"/>
                  <w:ind w:firstLine="0"/>
                  <w:jc w:val="left"/>
                  <w:rPr/>
                </w:pPr>
                <w:r w:rsidDel="00000000" w:rsidR="00000000" w:rsidRPr="00000000">
                  <w:rPr>
                    <w:rtl w:val="0"/>
                  </w:rPr>
                  <w:t xml:space="preserve">NRIS</w:t>
                </w:r>
              </w:p>
              <w:p w:rsidR="00000000" w:rsidDel="00000000" w:rsidP="00000000" w:rsidRDefault="00000000" w:rsidRPr="00000000" w14:paraId="000000BE">
                <w:pPr>
                  <w:widowControl w:val="0"/>
                  <w:spacing w:line="240" w:lineRule="auto"/>
                  <w:ind w:firstLine="0"/>
                  <w:jc w:val="left"/>
                  <w:rPr/>
                </w:pPr>
                <w:r w:rsidDel="00000000" w:rsidR="00000000" w:rsidRPr="00000000">
                  <w:rPr>
                    <w:rtl w:val="0"/>
                  </w:rPr>
                  <w:t xml:space="preserve">SND</w:t>
                </w:r>
              </w:p>
              <w:p w:rsidR="00000000" w:rsidDel="00000000" w:rsidP="00000000" w:rsidRDefault="00000000" w:rsidRPr="00000000" w14:paraId="000000BF">
                <w:pPr>
                  <w:widowControl w:val="0"/>
                  <w:spacing w:line="240" w:lineRule="auto"/>
                  <w:ind w:firstLine="0"/>
                  <w:jc w:val="left"/>
                  <w:rPr/>
                </w:pPr>
                <w:r w:rsidDel="00000000" w:rsidR="00000000" w:rsidRPr="00000000">
                  <w:rPr>
                    <w:rtl w:val="0"/>
                  </w:rPr>
                  <w:t xml:space="preserve">SRCE</w:t>
                </w:r>
              </w:p>
              <w:p w:rsidR="00000000" w:rsidDel="00000000" w:rsidP="00000000" w:rsidRDefault="00000000" w:rsidRPr="00000000" w14:paraId="000000C0">
                <w:pPr>
                  <w:widowControl w:val="0"/>
                  <w:spacing w:line="240" w:lineRule="auto"/>
                  <w:ind w:firstLine="0"/>
                  <w:jc w:val="left"/>
                  <w:rPr/>
                </w:pPr>
                <w:r w:rsidDel="00000000" w:rsidR="00000000" w:rsidRPr="00000000">
                  <w:rPr>
                    <w:rtl w:val="0"/>
                  </w:rPr>
                  <w:t xml:space="preserve">SURF</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firstLine="0"/>
                  <w:jc w:val="left"/>
                  <w:rPr/>
                </w:pPr>
                <w:r w:rsidDel="00000000" w:rsidR="00000000" w:rsidRPr="00000000">
                  <w:rPr>
                    <w:rtl w:val="0"/>
                  </w:rPr>
                  <w:t xml:space="preserve">BBMRI ERIC</w:t>
                </w:r>
              </w:p>
              <w:p w:rsidR="00000000" w:rsidDel="00000000" w:rsidP="00000000" w:rsidRDefault="00000000" w:rsidRPr="00000000" w14:paraId="000000C2">
                <w:pPr>
                  <w:widowControl w:val="0"/>
                  <w:spacing w:line="240" w:lineRule="auto"/>
                  <w:ind w:firstLine="0"/>
                  <w:jc w:val="left"/>
                  <w:rPr/>
                </w:pPr>
                <w:r w:rsidDel="00000000" w:rsidR="00000000" w:rsidRPr="00000000">
                  <w:rPr>
                    <w:rtl w:val="0"/>
                  </w:rPr>
                  <w:t xml:space="preserve">Elixir Hub</w:t>
                </w:r>
              </w:p>
              <w:p w:rsidR="00000000" w:rsidDel="00000000" w:rsidP="00000000" w:rsidRDefault="00000000" w:rsidRPr="00000000" w14:paraId="000000C3">
                <w:pPr>
                  <w:widowControl w:val="0"/>
                  <w:spacing w:line="240" w:lineRule="auto"/>
                  <w:ind w:firstLine="0"/>
                  <w:jc w:val="left"/>
                  <w:rPr/>
                </w:pPr>
                <w:r w:rsidDel="00000000" w:rsidR="00000000" w:rsidRPr="00000000">
                  <w:rPr>
                    <w:rtl w:val="0"/>
                  </w:rPr>
                  <w:t xml:space="preserve">EMBL</w:t>
                </w:r>
              </w:p>
              <w:p w:rsidR="00000000" w:rsidDel="00000000" w:rsidP="00000000" w:rsidRDefault="00000000" w:rsidRPr="00000000" w14:paraId="000000C4">
                <w:pPr>
                  <w:widowControl w:val="0"/>
                  <w:spacing w:line="240" w:lineRule="auto"/>
                  <w:ind w:firstLine="0"/>
                  <w:jc w:val="left"/>
                  <w:rPr/>
                </w:pPr>
                <w:r w:rsidDel="00000000" w:rsidR="00000000" w:rsidRPr="00000000">
                  <w:rPr>
                    <w:rtl w:val="0"/>
                  </w:rPr>
                  <w:t xml:space="preserve">Euro-BioImaging ERIC</w:t>
                </w:r>
              </w:p>
              <w:p w:rsidR="00000000" w:rsidDel="00000000" w:rsidP="00000000" w:rsidRDefault="00000000" w:rsidRPr="00000000" w14:paraId="000000C5">
                <w:pPr>
                  <w:widowControl w:val="0"/>
                  <w:spacing w:line="240" w:lineRule="auto"/>
                  <w:ind w:firstLine="0"/>
                  <w:jc w:val="left"/>
                  <w:rPr/>
                </w:pPr>
                <w:r w:rsidDel="00000000" w:rsidR="00000000" w:rsidRPr="00000000">
                  <w:rPr>
                    <w:rtl w:val="0"/>
                  </w:rPr>
                  <w:t xml:space="preserve">Instruct ERIC</w:t>
                </w:r>
              </w:p>
            </w:tc>
          </w:tr>
        </w:tbl>
      </w:sdtContent>
    </w:sdt>
    <w:p w:rsidR="00000000" w:rsidDel="00000000" w:rsidP="00000000" w:rsidRDefault="00000000" w:rsidRPr="00000000" w14:paraId="000000C6">
      <w:pPr>
        <w:ind w:firstLine="0"/>
        <w:rPr/>
      </w:pPr>
      <w:r w:rsidDel="00000000" w:rsidR="00000000" w:rsidRPr="00000000">
        <w:rPr>
          <w:rtl w:val="0"/>
        </w:rPr>
      </w:r>
    </w:p>
    <w:p w:rsidR="00000000" w:rsidDel="00000000" w:rsidP="00000000" w:rsidRDefault="00000000" w:rsidRPr="00000000" w14:paraId="000000C7">
      <w:pPr>
        <w:pStyle w:val="Heading2"/>
        <w:numPr>
          <w:ilvl w:val="1"/>
          <w:numId w:val="2"/>
        </w:numPr>
        <w:ind w:left="779.5275590551182" w:hanging="360"/>
        <w:rPr>
          <w:u w:val="none"/>
        </w:rPr>
      </w:pPr>
      <w:bookmarkStart w:colFirst="0" w:colLast="0" w:name="_heading=h.35nkun2" w:id="17"/>
      <w:bookmarkEnd w:id="17"/>
      <w:r w:rsidDel="00000000" w:rsidR="00000000" w:rsidRPr="00000000">
        <w:rPr>
          <w:rtl w:val="0"/>
        </w:rPr>
        <w:t xml:space="preserve">EOSC Integration Status and Future Plans</w:t>
      </w:r>
      <w:r w:rsidDel="00000000" w:rsidR="00000000" w:rsidRPr="00000000">
        <w:rPr>
          <w:rtl w:val="0"/>
        </w:rPr>
      </w:r>
    </w:p>
    <w:p w:rsidR="00000000" w:rsidDel="00000000" w:rsidP="00000000" w:rsidRDefault="00000000" w:rsidRPr="00000000" w14:paraId="000000C8">
      <w:pPr>
        <w:ind w:firstLine="0"/>
        <w:rPr/>
      </w:pPr>
      <w:r w:rsidDel="00000000" w:rsidR="00000000" w:rsidRPr="00000000">
        <w:rPr>
          <w:rtl w:val="0"/>
        </w:rPr>
        <w:t xml:space="preserve">The EOSC landscape has undergone significant changes since the publication of D2.3</w:t>
      </w:r>
      <w:r w:rsidDel="00000000" w:rsidR="00000000" w:rsidRPr="00000000">
        <w:rPr>
          <w:vertAlign w:val="superscript"/>
        </w:rPr>
        <w:footnoteReference w:customMarkFollows="0" w:id="12"/>
      </w:r>
      <w:r w:rsidDel="00000000" w:rsidR="00000000" w:rsidRPr="00000000">
        <w:rPr>
          <w:rtl w:val="0"/>
        </w:rPr>
        <w:t xml:space="preserve">, the first version of this deliverable. The former EOSC portal and its onboarding process have been discontinued. Recently, as outlined in the previous sections, the European Commission launched a fully operational EOSC infrastructure node, the EOSC EU Node. Organisations interested in making their resources available within and across the EOSC Federation can do so by either creating and operating their own EOSC Node or including their resources in an EOSC Node operated by another organisation.</w:t>
      </w:r>
    </w:p>
    <w:p w:rsidR="00000000" w:rsidDel="00000000" w:rsidP="00000000" w:rsidRDefault="00000000" w:rsidRPr="00000000" w14:paraId="000000C9">
      <w:pPr>
        <w:ind w:firstLine="0"/>
        <w:rPr/>
      </w:pPr>
      <w:r w:rsidDel="00000000" w:rsidR="00000000" w:rsidRPr="00000000">
        <w:rPr>
          <w:rtl w:val="0"/>
        </w:rPr>
        <w:t xml:space="preserve">While practical guidelines defining the purpose, structure, governance, architecture and operations of the EOSC Federation are still under development -with only a draft of the initial chapters of the EOSC Federation Handbook currently available- the selection process for the first wave of potential candidate EOSC Nodes has already begun. These nodes, expected to integrate with the EOSC EU Node in the first half of 2025, will initiate the formal federation of thematic, national, and organisational nodes. Among these, the project is exploring integration opportunities with Blue-Cloud, one of the invited potential EOSC nodes participating in first-stage dialogue meetings.</w:t>
      </w:r>
    </w:p>
    <w:p w:rsidR="00000000" w:rsidDel="00000000" w:rsidP="00000000" w:rsidRDefault="00000000" w:rsidRPr="00000000" w14:paraId="000000CA">
      <w:pPr>
        <w:ind w:firstLine="0"/>
        <w:rPr/>
      </w:pPr>
      <w:r w:rsidDel="00000000" w:rsidR="00000000" w:rsidRPr="00000000">
        <w:rPr>
          <w:rtl w:val="0"/>
        </w:rPr>
        <w:t xml:space="preserve">Despite these evolving integration opportunities, and although direct deposition of research output into the EOSC EU Node is not currently possible, resources previously onboarded into the EOSC portal or uploaded to repositories like Zenodo</w:t>
      </w:r>
      <w:r w:rsidDel="00000000" w:rsidR="00000000" w:rsidRPr="00000000">
        <w:rPr>
          <w:vertAlign w:val="superscript"/>
        </w:rPr>
        <w:footnoteReference w:customMarkFollows="0" w:id="13"/>
      </w:r>
      <w:r w:rsidDel="00000000" w:rsidR="00000000" w:rsidRPr="00000000">
        <w:rPr>
          <w:rtl w:val="0"/>
        </w:rPr>
        <w:t xml:space="preserve"> remain discoverable through the EOSC EU node Resource Hub</w:t>
      </w:r>
      <w:r w:rsidDel="00000000" w:rsidR="00000000" w:rsidRPr="00000000">
        <w:rPr>
          <w:vertAlign w:val="superscript"/>
        </w:rPr>
        <w:footnoteReference w:customMarkFollows="0" w:id="14"/>
      </w:r>
      <w:r w:rsidDel="00000000" w:rsidR="00000000" w:rsidRPr="00000000">
        <w:rPr>
          <w:rtl w:val="0"/>
        </w:rPr>
        <w:t xml:space="preserve">. Below is the current status of the assets envisioned for onboarding in D2.3:</w:t>
      </w:r>
    </w:p>
    <w:p w:rsidR="00000000" w:rsidDel="00000000" w:rsidP="00000000" w:rsidRDefault="00000000" w:rsidRPr="00000000" w14:paraId="000000CB">
      <w:pPr>
        <w:numPr>
          <w:ilvl w:val="0"/>
          <w:numId w:val="4"/>
        </w:numPr>
        <w:ind w:left="720" w:hanging="360"/>
        <w:rPr>
          <w:u w:val="none"/>
        </w:rPr>
      </w:pPr>
      <w:r w:rsidDel="00000000" w:rsidR="00000000" w:rsidRPr="00000000">
        <w:rPr>
          <w:rtl w:val="0"/>
        </w:rPr>
        <w:t xml:space="preserve">The iMagine AI platform for aquatic science was onboarded as a service by IFCA before the discontinuation of the EOSC portal. It is now discoverable through the EOSC EU Node Resource Hub</w:t>
      </w:r>
      <w:r w:rsidDel="00000000" w:rsidR="00000000" w:rsidRPr="00000000">
        <w:rPr>
          <w:vertAlign w:val="superscript"/>
        </w:rPr>
        <w:footnoteReference w:customMarkFollows="0" w:id="15"/>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C">
      <w:pPr>
        <w:numPr>
          <w:ilvl w:val="0"/>
          <w:numId w:val="4"/>
        </w:numPr>
        <w:ind w:left="720" w:hanging="360"/>
        <w:rPr>
          <w:u w:val="none"/>
        </w:rPr>
      </w:pPr>
      <w:r w:rsidDel="00000000" w:rsidR="00000000" w:rsidRPr="00000000">
        <w:rPr>
          <w:rtl w:val="0"/>
        </w:rPr>
        <w:t xml:space="preserve">The integration of the five mature and operational marine services was planned to occur after their external user phase began (the exact timelines are presented in D3.1 “Technical development roadmap for the AI image analysis use cases”</w:t>
      </w:r>
      <w:r w:rsidDel="00000000" w:rsidR="00000000" w:rsidRPr="00000000">
        <w:rPr>
          <w:vertAlign w:val="superscript"/>
        </w:rPr>
        <w:footnoteReference w:customMarkFollows="0" w:id="16"/>
      </w:r>
      <w:r w:rsidDel="00000000" w:rsidR="00000000" w:rsidRPr="00000000">
        <w:rPr>
          <w:rtl w:val="0"/>
        </w:rPr>
        <w:t xml:space="preserve">). However, by that time, the EOSC portal was offline, and these services had not yet been onboarded.</w:t>
      </w:r>
      <w:r w:rsidDel="00000000" w:rsidR="00000000" w:rsidRPr="00000000">
        <w:rPr>
          <w:rtl w:val="0"/>
        </w:rPr>
      </w:r>
    </w:p>
    <w:p w:rsidR="00000000" w:rsidDel="00000000" w:rsidP="00000000" w:rsidRDefault="00000000" w:rsidRPr="00000000" w14:paraId="000000CD">
      <w:pPr>
        <w:numPr>
          <w:ilvl w:val="0"/>
          <w:numId w:val="4"/>
        </w:numPr>
        <w:ind w:left="720" w:hanging="360"/>
        <w:rPr>
          <w:u w:val="none"/>
        </w:rPr>
      </w:pPr>
      <w:r w:rsidDel="00000000" w:rsidR="00000000" w:rsidRPr="00000000">
        <w:rPr>
          <w:rtl w:val="0"/>
        </w:rPr>
        <w:t xml:space="preserve">iMagine deliverables, publications and other similar outputs are made available through Zenodo. As Zenodo continues to be onboarded as a Data Source, all iMagine research products from Zenodo are automatically accessible through the EOSC Resource Hub. </w:t>
      </w:r>
      <w:r w:rsidDel="00000000" w:rsidR="00000000" w:rsidRPr="00000000">
        <w:rPr>
          <w:rtl w:val="0"/>
        </w:rPr>
      </w:r>
    </w:p>
    <w:p w:rsidR="00000000" w:rsidDel="00000000" w:rsidP="00000000" w:rsidRDefault="00000000" w:rsidRPr="00000000" w14:paraId="000000CE">
      <w:pPr>
        <w:numPr>
          <w:ilvl w:val="0"/>
          <w:numId w:val="4"/>
        </w:numPr>
        <w:ind w:left="720" w:hanging="360"/>
        <w:rPr>
          <w:u w:val="none"/>
        </w:rPr>
      </w:pPr>
      <w:r w:rsidDel="00000000" w:rsidR="00000000" w:rsidRPr="00000000">
        <w:rPr>
          <w:rtl w:val="0"/>
        </w:rPr>
        <w:t xml:space="preserve">iMagine dataset available for each use case. All thirteen datasets have been uploaded to Zenodo and are automatically discoverable through the EOSC Resource Hub.</w:t>
      </w:r>
      <w:r w:rsidDel="00000000" w:rsidR="00000000" w:rsidRPr="00000000">
        <w:rPr>
          <w:rtl w:val="0"/>
        </w:rPr>
      </w:r>
    </w:p>
    <w:p w:rsidR="00000000" w:rsidDel="00000000" w:rsidP="00000000" w:rsidRDefault="00000000" w:rsidRPr="00000000" w14:paraId="000000CF">
      <w:pPr>
        <w:ind w:left="0" w:firstLine="0"/>
        <w:rPr/>
      </w:pPr>
      <w:r w:rsidDel="00000000" w:rsidR="00000000" w:rsidRPr="00000000">
        <w:rPr>
          <w:rtl w:val="0"/>
        </w:rPr>
      </w:r>
    </w:p>
    <w:p w:rsidR="00000000" w:rsidDel="00000000" w:rsidP="00000000" w:rsidRDefault="00000000" w:rsidRPr="00000000" w14:paraId="000000D0">
      <w:pPr>
        <w:pStyle w:val="Heading2"/>
        <w:numPr>
          <w:ilvl w:val="1"/>
          <w:numId w:val="2"/>
        </w:numPr>
        <w:ind w:left="779.5275590551182" w:hanging="360"/>
        <w:rPr>
          <w:u w:val="none"/>
        </w:rPr>
      </w:pPr>
      <w:bookmarkStart w:colFirst="0" w:colLast="0" w:name="_heading=h.1ksv4uv" w:id="18"/>
      <w:bookmarkEnd w:id="18"/>
      <w:r w:rsidDel="00000000" w:rsidR="00000000" w:rsidRPr="00000000">
        <w:rPr>
          <w:rtl w:val="0"/>
        </w:rPr>
        <w:t xml:space="preserve">EOSC Liaison Plan</w:t>
      </w:r>
      <w:r w:rsidDel="00000000" w:rsidR="00000000" w:rsidRPr="00000000">
        <w:rPr>
          <w:rtl w:val="0"/>
        </w:rPr>
      </w:r>
    </w:p>
    <w:p w:rsidR="00000000" w:rsidDel="00000000" w:rsidP="00000000" w:rsidRDefault="00000000" w:rsidRPr="00000000" w14:paraId="000000D1">
      <w:pPr>
        <w:ind w:firstLine="0"/>
        <w:rPr/>
      </w:pPr>
      <w:r w:rsidDel="00000000" w:rsidR="00000000" w:rsidRPr="00000000">
        <w:rPr>
          <w:rtl w:val="0"/>
        </w:rPr>
        <w:t xml:space="preserve">The iMagine project will continue to actively engage with the evolving EOSC ecosystem to ensure its resources, services, and outputs align with the emerging opportunities and requirements. This engagement is supported by the strong involvement of the project coordinator and partners in this large-scale initiative. The updated liaison plan reflects the recent development in EOSC, including the launch of the EOSC EU Node, the ongoing establishment of the EOSC Federation with the enrollment of additional EOSC nodes, new funding opportunities under the Horizon Europe program, and activities from the newly formed EOSC Task Forces.</w:t>
      </w:r>
    </w:p>
    <w:p w:rsidR="00000000" w:rsidDel="00000000" w:rsidP="00000000" w:rsidRDefault="00000000" w:rsidRPr="00000000" w14:paraId="000000D2">
      <w:pPr>
        <w:ind w:firstLine="0"/>
        <w:rPr/>
      </w:pPr>
      <w:r w:rsidDel="00000000" w:rsidR="00000000" w:rsidRPr="00000000">
        <w:rPr>
          <w:rtl w:val="0"/>
        </w:rPr>
        <w:t xml:space="preserve">The development and operation of the EOSC EU Node Core have benefited from the contribution of EGI and GRNET under LOT 1 “Core Federation Services for the EOSC EU Node”. This work provides the backbone of the EOSC EU Node Core services, including the Authentication and Authorisation Infrastructure (AAI). These efforts will help iMagine align its platform and associated services with new functionalities, ensuring their sustainability and relevance.</w:t>
      </w:r>
    </w:p>
    <w:p w:rsidR="00000000" w:rsidDel="00000000" w:rsidP="00000000" w:rsidRDefault="00000000" w:rsidRPr="00000000" w14:paraId="000000D3">
      <w:pPr>
        <w:ind w:firstLine="0"/>
        <w:rPr/>
      </w:pPr>
      <w:r w:rsidDel="00000000" w:rsidR="00000000" w:rsidRPr="00000000">
        <w:rPr>
          <w:rtl w:val="0"/>
        </w:rPr>
        <w:t xml:space="preserve">Both EGI and Blue-Cloud have responded to the eligibility questionnaire as the first step toward contributing to a testbed of potential EOSC Nodes. EGI focuses on providing a node with core computing and storage services, while Blue-Cloud aims to establish a marine-themed ecosystem of application services. As Blue-Cloud has been invited to participate in first-stage dialogue meetings, it presents a key opportunity for thematic integration.</w:t>
      </w:r>
    </w:p>
    <w:p w:rsidR="00000000" w:rsidDel="00000000" w:rsidP="00000000" w:rsidRDefault="00000000" w:rsidRPr="00000000" w14:paraId="000000D4">
      <w:pPr>
        <w:ind w:firstLine="0"/>
        <w:rPr/>
      </w:pPr>
      <w:r w:rsidDel="00000000" w:rsidR="00000000" w:rsidRPr="00000000">
        <w:rPr>
          <w:rtl w:val="0"/>
        </w:rPr>
        <w:t xml:space="preserve">The EOSC Beyond project</w:t>
      </w:r>
      <w:r w:rsidDel="00000000" w:rsidR="00000000" w:rsidRPr="00000000">
        <w:rPr>
          <w:vertAlign w:val="superscript"/>
        </w:rPr>
        <w:footnoteReference w:customMarkFollows="0" w:id="17"/>
      </w:r>
      <w:r w:rsidDel="00000000" w:rsidR="00000000" w:rsidRPr="00000000">
        <w:rPr>
          <w:rtl w:val="0"/>
        </w:rPr>
        <w:t xml:space="preserve">, coordinated by EGI, aims to advance the EOSC Core and implement a network of EOSC Nodes. By integrating use cases from initiatives such as LifeWatch</w:t>
      </w:r>
      <w:r w:rsidDel="00000000" w:rsidR="00000000" w:rsidRPr="00000000">
        <w:rPr>
          <w:vertAlign w:val="superscript"/>
        </w:rPr>
        <w:footnoteReference w:customMarkFollows="0" w:id="18"/>
      </w:r>
      <w:r w:rsidDel="00000000" w:rsidR="00000000" w:rsidRPr="00000000">
        <w:rPr>
          <w:rtl w:val="0"/>
        </w:rPr>
        <w:t xml:space="preserve">, a research infrastructure also represented in iMagine, EOSC Beyond constitutes another opportunity for alignment. iMagine will actively engage with EOSC Beyond to identify integration pathways and potential collaborations that enhance its contribution to the EOSC Federation.</w:t>
      </w:r>
    </w:p>
    <w:p w:rsidR="00000000" w:rsidDel="00000000" w:rsidP="00000000" w:rsidRDefault="00000000" w:rsidRPr="00000000" w14:paraId="000000D5">
      <w:pPr>
        <w:ind w:firstLine="0"/>
        <w:rPr/>
      </w:pPr>
      <w:r w:rsidDel="00000000" w:rsidR="00000000" w:rsidRPr="00000000">
        <w:rPr>
          <w:rtl w:val="0"/>
        </w:rPr>
        <w:t xml:space="preserve">iMagine will also explore opportunities in the upcoming INFRAEOSC calls under Horizon Europe Research Infrastructures Work Programme 2025, which emphasises improving the sustainability of the RIs while expanding the EOSC Federation. Participation in this programme will help iMagine align its contributions with user needs and support the development of a European web of FAIR data and services.</w:t>
      </w:r>
    </w:p>
    <w:p w:rsidR="00000000" w:rsidDel="00000000" w:rsidP="00000000" w:rsidRDefault="00000000" w:rsidRPr="00000000" w14:paraId="000000D6">
      <w:pPr>
        <w:ind w:firstLine="0"/>
        <w:rPr/>
      </w:pPr>
      <w:r w:rsidDel="00000000" w:rsidR="00000000" w:rsidRPr="00000000">
        <w:rPr>
          <w:rtl w:val="0"/>
        </w:rPr>
        <w:t xml:space="preserve">The EOSC Association Task Forces</w:t>
      </w:r>
      <w:r w:rsidDel="00000000" w:rsidR="00000000" w:rsidRPr="00000000">
        <w:rPr>
          <w:vertAlign w:val="superscript"/>
        </w:rPr>
        <w:footnoteReference w:customMarkFollows="0" w:id="19"/>
      </w:r>
      <w:r w:rsidDel="00000000" w:rsidR="00000000" w:rsidRPr="00000000">
        <w:rPr>
          <w:rtl w:val="0"/>
        </w:rPr>
        <w:t xml:space="preserve"> continue to shape the implementation and governance of EOSC. iMagine will prioritize engagement with the Technical and Semantic Interoperability Task Force, co-chaired by EGI, which directly impacts the integration of iMagine services and resources into EOSC.</w:t>
      </w:r>
    </w:p>
    <w:p w:rsidR="00000000" w:rsidDel="00000000" w:rsidP="00000000" w:rsidRDefault="00000000" w:rsidRPr="00000000" w14:paraId="000000D7">
      <w:pPr>
        <w:ind w:firstLine="0"/>
        <w:rPr/>
      </w:pPr>
      <w:r w:rsidDel="00000000" w:rsidR="00000000" w:rsidRPr="00000000">
        <w:rPr>
          <w:rtl w:val="0"/>
        </w:rPr>
        <w:t xml:space="preserve">The project has already showcased its contribution to EOSC at the EOSC Symposium 2023 and at the EOSC Tripartite Event in Belgium in April 2024. It will continue this effort by actively participating in future events, including the EOSC Symposium 2025.</w:t>
      </w:r>
    </w:p>
    <w:p w:rsidR="00000000" w:rsidDel="00000000" w:rsidP="00000000" w:rsidRDefault="00000000" w:rsidRPr="00000000" w14:paraId="000000D8">
      <w:pPr>
        <w:ind w:firstLine="0"/>
        <w:rPr/>
      </w:pPr>
      <w:r w:rsidDel="00000000" w:rsidR="00000000" w:rsidRPr="00000000">
        <w:rPr>
          <w:rtl w:val="0"/>
        </w:rPr>
        <w:t xml:space="preserve">These activities will ensure that iMagine remains at the forefront of EOSC developments, fostering collaboration and maximising its impact within the European research ecosystem.</w:t>
      </w:r>
    </w:p>
    <w:p w:rsidR="00000000" w:rsidDel="00000000" w:rsidP="00000000" w:rsidRDefault="00000000" w:rsidRPr="00000000" w14:paraId="000000D9">
      <w:pPr>
        <w:pStyle w:val="Heading1"/>
        <w:numPr>
          <w:ilvl w:val="0"/>
          <w:numId w:val="2"/>
        </w:numPr>
        <w:spacing w:after="0" w:lineRule="auto"/>
        <w:ind w:left="566.9291338582675" w:hanging="360"/>
        <w:rPr>
          <w:u w:val="none"/>
        </w:rPr>
      </w:pPr>
      <w:bookmarkStart w:colFirst="0" w:colLast="0" w:name="_heading=h.44sinio" w:id="19"/>
      <w:bookmarkEnd w:id="19"/>
      <w:r w:rsidDel="00000000" w:rsidR="00000000" w:rsidRPr="00000000">
        <w:rPr>
          <w:rtl w:val="0"/>
        </w:rPr>
        <w:t xml:space="preserve">AIoD liaison and integration plan</w:t>
      </w:r>
      <w:r w:rsidDel="00000000" w:rsidR="00000000" w:rsidRPr="00000000">
        <w:rPr>
          <w:rtl w:val="0"/>
        </w:rPr>
      </w:r>
    </w:p>
    <w:p w:rsidR="00000000" w:rsidDel="00000000" w:rsidP="00000000" w:rsidRDefault="00000000" w:rsidRPr="00000000" w14:paraId="000000DA">
      <w:pPr>
        <w:pStyle w:val="Heading2"/>
        <w:numPr>
          <w:ilvl w:val="1"/>
          <w:numId w:val="2"/>
        </w:numPr>
        <w:spacing w:before="0" w:lineRule="auto"/>
        <w:ind w:left="708.6614173228347" w:hanging="360.00000000000006"/>
        <w:rPr>
          <w:u w:val="none"/>
        </w:rPr>
      </w:pPr>
      <w:bookmarkStart w:colFirst="0" w:colLast="0" w:name="_heading=h.2jxsxqh" w:id="20"/>
      <w:bookmarkEnd w:id="20"/>
      <w:r w:rsidDel="00000000" w:rsidR="00000000" w:rsidRPr="00000000">
        <w:rPr>
          <w:rtl w:val="0"/>
        </w:rPr>
        <w:t xml:space="preserve">AIoD overview</w:t>
      </w:r>
      <w:r w:rsidDel="00000000" w:rsidR="00000000" w:rsidRPr="00000000">
        <w:rPr>
          <w:rtl w:val="0"/>
        </w:rPr>
      </w:r>
    </w:p>
    <w:p w:rsidR="00000000" w:rsidDel="00000000" w:rsidP="00000000" w:rsidRDefault="00000000" w:rsidRPr="00000000" w14:paraId="000000DB">
      <w:pPr>
        <w:ind w:firstLine="0"/>
        <w:rPr/>
      </w:pPr>
      <w:r w:rsidDel="00000000" w:rsidR="00000000" w:rsidRPr="00000000">
        <w:rPr>
          <w:rtl w:val="0"/>
        </w:rPr>
        <w:t xml:space="preserve">The AI on-demand (AIoD) platform and ecosystem is a relatively newer initiative compared to EOSC. It began with AI4EU</w:t>
      </w:r>
      <w:r w:rsidDel="00000000" w:rsidR="00000000" w:rsidRPr="00000000">
        <w:rPr>
          <w:vertAlign w:val="superscript"/>
        </w:rPr>
        <w:footnoteReference w:customMarkFollows="0" w:id="20"/>
      </w:r>
      <w:r w:rsidDel="00000000" w:rsidR="00000000" w:rsidRPr="00000000">
        <w:rPr>
          <w:rtl w:val="0"/>
        </w:rPr>
        <w:t xml:space="preserve">, a three-year EU project that concluded at the end of 2021, delivering two main tools:</w:t>
      </w:r>
    </w:p>
    <w:p w:rsidR="00000000" w:rsidDel="00000000" w:rsidP="00000000" w:rsidRDefault="00000000" w:rsidRPr="00000000" w14:paraId="000000DC">
      <w:pPr>
        <w:numPr>
          <w:ilvl w:val="0"/>
          <w:numId w:val="13"/>
        </w:numPr>
        <w:ind w:left="720" w:hanging="360"/>
        <w:rPr/>
      </w:pPr>
      <w:r w:rsidDel="00000000" w:rsidR="00000000" w:rsidRPr="00000000">
        <w:rPr>
          <w:rtl w:val="0"/>
        </w:rPr>
        <w:t xml:space="preserve">Contribution Gateway</w:t>
      </w:r>
      <w:r w:rsidDel="00000000" w:rsidR="00000000" w:rsidRPr="00000000">
        <w:rPr>
          <w:vertAlign w:val="superscript"/>
        </w:rPr>
        <w:footnoteReference w:customMarkFollows="0" w:id="21"/>
      </w:r>
      <w:r w:rsidDel="00000000" w:rsidR="00000000" w:rsidRPr="00000000">
        <w:rPr>
          <w:rtl w:val="0"/>
        </w:rPr>
        <w:t xml:space="preserve">: A Content Management System (CMS) enabling the uploading, discovery, and access of AI research assets.</w:t>
      </w:r>
    </w:p>
    <w:p w:rsidR="00000000" w:rsidDel="00000000" w:rsidP="00000000" w:rsidRDefault="00000000" w:rsidRPr="00000000" w14:paraId="000000DD">
      <w:pPr>
        <w:numPr>
          <w:ilvl w:val="0"/>
          <w:numId w:val="13"/>
        </w:numPr>
        <w:ind w:left="720" w:hanging="360"/>
        <w:rPr/>
      </w:pPr>
      <w:r w:rsidDel="00000000" w:rsidR="00000000" w:rsidRPr="00000000">
        <w:rPr>
          <w:rtl w:val="0"/>
        </w:rPr>
        <w:t xml:space="preserve">AI4EU experiments</w:t>
      </w:r>
      <w:r w:rsidDel="00000000" w:rsidR="00000000" w:rsidRPr="00000000">
        <w:rPr>
          <w:vertAlign w:val="superscript"/>
        </w:rPr>
        <w:footnoteReference w:customMarkFollows="0" w:id="22"/>
      </w:r>
      <w:r w:rsidDel="00000000" w:rsidR="00000000" w:rsidRPr="00000000">
        <w:rPr>
          <w:rtl w:val="0"/>
        </w:rPr>
        <w:t xml:space="preserve">: A tool designed to facilitate AI experimentation.</w:t>
      </w:r>
    </w:p>
    <w:p w:rsidR="00000000" w:rsidDel="00000000" w:rsidP="00000000" w:rsidRDefault="00000000" w:rsidRPr="00000000" w14:paraId="000000DE">
      <w:pPr>
        <w:ind w:firstLine="0"/>
        <w:rPr/>
      </w:pPr>
      <w:r w:rsidDel="00000000" w:rsidR="00000000" w:rsidRPr="00000000">
        <w:rPr>
          <w:rtl w:val="0"/>
        </w:rPr>
      </w:r>
    </w:p>
    <w:p w:rsidR="00000000" w:rsidDel="00000000" w:rsidP="00000000" w:rsidRDefault="00000000" w:rsidRPr="00000000" w14:paraId="000000DF">
      <w:pPr>
        <w:ind w:firstLine="0"/>
        <w:rPr/>
      </w:pPr>
      <w:r w:rsidDel="00000000" w:rsidR="00000000" w:rsidRPr="00000000">
        <w:rPr>
          <w:rtl w:val="0"/>
        </w:rPr>
        <w:t xml:space="preserve">Building on the foundation of AI4EU, the AI4Europe project</w:t>
      </w:r>
      <w:r w:rsidDel="00000000" w:rsidR="00000000" w:rsidRPr="00000000">
        <w:rPr>
          <w:vertAlign w:val="superscript"/>
        </w:rPr>
        <w:footnoteReference w:customMarkFollows="0" w:id="23"/>
      </w:r>
      <w:r w:rsidDel="00000000" w:rsidR="00000000" w:rsidRPr="00000000">
        <w:rPr>
          <w:rtl w:val="0"/>
        </w:rPr>
        <w:t xml:space="preserve"> started in 2022. Currently responsible for the management, development and facilitation of the AIoD Platform, its primary objective is </w:t>
      </w:r>
      <w:r w:rsidDel="00000000" w:rsidR="00000000" w:rsidRPr="00000000">
        <w:rPr>
          <w:i w:val="1"/>
          <w:rtl w:val="0"/>
        </w:rPr>
        <w:t xml:space="preserve">“to support and facilitate a sustainable digital platform and experimentation environment through the creation of open research channels and mechanisms that foster the European AI research ecosystem, academic and industrial, and that maximise the academic, social, and industrial impact while it seamlessly integrates other projects, platforms, and solutions.”</w:t>
      </w:r>
      <w:r w:rsidDel="00000000" w:rsidR="00000000" w:rsidRPr="00000000">
        <w:rPr>
          <w:i w:val="1"/>
          <w:vertAlign w:val="superscript"/>
        </w:rPr>
        <w:footnoteReference w:customMarkFollows="0" w:id="24"/>
      </w:r>
      <w:r w:rsidDel="00000000" w:rsidR="00000000" w:rsidRPr="00000000">
        <w:rPr>
          <w:rtl w:val="0"/>
        </w:rPr>
      </w:r>
    </w:p>
    <w:p w:rsidR="00000000" w:rsidDel="00000000" w:rsidP="00000000" w:rsidRDefault="00000000" w:rsidRPr="00000000" w14:paraId="000000E0">
      <w:pPr>
        <w:ind w:firstLine="0"/>
        <w:rPr/>
      </w:pPr>
      <w:r w:rsidDel="00000000" w:rsidR="00000000" w:rsidRPr="00000000">
        <w:rPr>
          <w:rtl w:val="0"/>
        </w:rPr>
        <w:t xml:space="preserve">Similar to EOSC, the AI4Europe project has designed a decentralised architecture composed of interconnected AIoD nodes. This architecture is supported by a core API that ensures interoperability, provides uniform metadata across all resources, and offers interfaces for developing new services. As part of this transition, the Contribution Gateway is set to be replaced by a new metadata catalogue</w:t>
      </w:r>
      <w:r w:rsidDel="00000000" w:rsidR="00000000" w:rsidRPr="00000000">
        <w:rPr>
          <w:vertAlign w:val="superscript"/>
        </w:rPr>
        <w:footnoteReference w:customMarkFollows="0" w:id="25"/>
      </w:r>
      <w:r w:rsidDel="00000000" w:rsidR="00000000" w:rsidRPr="00000000">
        <w:rPr>
          <w:rtl w:val="0"/>
        </w:rPr>
        <w:t xml:space="preserve"> based on the core API. While migration of previously uploaded content to the new metadata catalogue is ongoing, both systems coexist. The AIoD Contribution Gateway and its onboarding process, as outlined in D3.2 (the first version of this deliverable), remain operational, with further details available in the AIoD documentation</w:t>
      </w:r>
      <w:r w:rsidDel="00000000" w:rsidR="00000000" w:rsidRPr="00000000">
        <w:rPr>
          <w:vertAlign w:val="superscript"/>
        </w:rPr>
        <w:footnoteReference w:customMarkFollows="0" w:id="26"/>
      </w:r>
      <w:r w:rsidDel="00000000" w:rsidR="00000000" w:rsidRPr="00000000">
        <w:rPr>
          <w:rtl w:val="0"/>
        </w:rPr>
        <w:t xml:space="preserve">.</w:t>
      </w:r>
    </w:p>
    <w:p w:rsidR="00000000" w:rsidDel="00000000" w:rsidP="00000000" w:rsidRDefault="00000000" w:rsidRPr="00000000" w14:paraId="000000E1">
      <w:pPr>
        <w:ind w:firstLine="0"/>
        <w:rPr/>
      </w:pPr>
      <w:r w:rsidDel="00000000" w:rsidR="00000000" w:rsidRPr="00000000">
        <w:rPr>
          <w:rtl w:val="0"/>
        </w:rPr>
        <w:t xml:space="preserve">The AI4Experiment framework is evolving within the AI4Europe project under a new name, AI-Builder. Based on an open-source project, Graphene</w:t>
      </w:r>
      <w:r w:rsidDel="00000000" w:rsidR="00000000" w:rsidRPr="00000000">
        <w:rPr>
          <w:vertAlign w:val="superscript"/>
        </w:rPr>
        <w:footnoteReference w:customMarkFollows="0" w:id="27"/>
      </w:r>
      <w:r w:rsidDel="00000000" w:rsidR="00000000" w:rsidRPr="00000000">
        <w:rPr>
          <w:rtl w:val="0"/>
        </w:rPr>
        <w:t xml:space="preserve">, and hosted by the Eclipse Foundation, AI-Builder provides a framework for creating, publishing and deploying general cognitive architectures using reusable AI building blocks. These building blocks, implemented as Docker containers, can be visually composed into pipelines via a design studio. A Kubernetes deployer generates configuration files from the pipeline definitions, enabling deployment on Kubernetes clusters. The AI-Runner complements this framework by offering a public Kubernetes cluster where users can quickly deploy and test their pipelines. AI-builder includes its own marketplace for AI building blocks and pipelines. It is expected that these assets will also become accessible through the new AIoD metadata catalogue, aligning with the minimum requirements for a node within the AIoD federation. However, a similar document to the EOSC Federation Handbook, defining the governance, structure, and operational framework of the AIoD federation, has not yet been made available.</w:t>
      </w:r>
    </w:p>
    <w:p w:rsidR="00000000" w:rsidDel="00000000" w:rsidP="00000000" w:rsidRDefault="00000000" w:rsidRPr="00000000" w14:paraId="000000E2">
      <w:pPr>
        <w:pStyle w:val="Heading2"/>
        <w:numPr>
          <w:ilvl w:val="1"/>
          <w:numId w:val="2"/>
        </w:numPr>
        <w:ind w:left="779.5275590551182" w:hanging="360"/>
        <w:rPr>
          <w:u w:val="none"/>
        </w:rPr>
      </w:pPr>
      <w:bookmarkStart w:colFirst="0" w:colLast="0" w:name="_heading=h.1y810tw" w:id="21"/>
      <w:bookmarkEnd w:id="21"/>
      <w:r w:rsidDel="00000000" w:rsidR="00000000" w:rsidRPr="00000000">
        <w:rPr>
          <w:rtl w:val="0"/>
        </w:rPr>
        <w:t xml:space="preserve">AIoD Integration Status and Future Plans</w:t>
      </w:r>
      <w:r w:rsidDel="00000000" w:rsidR="00000000" w:rsidRPr="00000000">
        <w:rPr>
          <w:rtl w:val="0"/>
        </w:rPr>
      </w:r>
    </w:p>
    <w:p w:rsidR="00000000" w:rsidDel="00000000" w:rsidP="00000000" w:rsidRDefault="00000000" w:rsidRPr="00000000" w14:paraId="000000E3">
      <w:pPr>
        <w:ind w:firstLine="0"/>
        <w:rPr/>
      </w:pPr>
      <w:r w:rsidDel="00000000" w:rsidR="00000000" w:rsidRPr="00000000">
        <w:rPr>
          <w:rtl w:val="0"/>
        </w:rPr>
        <w:t xml:space="preserve">Below is the current status of the assets envisioned for onboarding via the Contribution Gateway in D2.3:</w:t>
      </w:r>
    </w:p>
    <w:p w:rsidR="00000000" w:rsidDel="00000000" w:rsidP="00000000" w:rsidRDefault="00000000" w:rsidRPr="00000000" w14:paraId="000000E4">
      <w:pPr>
        <w:numPr>
          <w:ilvl w:val="0"/>
          <w:numId w:val="6"/>
        </w:numPr>
        <w:ind w:left="720" w:hanging="360"/>
        <w:rPr/>
      </w:pPr>
      <w:r w:rsidDel="00000000" w:rsidR="00000000" w:rsidRPr="00000000">
        <w:rPr>
          <w:rtl w:val="0"/>
        </w:rPr>
        <w:t xml:space="preserve">The iMagine project</w:t>
      </w:r>
      <w:r w:rsidDel="00000000" w:rsidR="00000000" w:rsidRPr="00000000">
        <w:rPr>
          <w:vertAlign w:val="superscript"/>
        </w:rPr>
        <w:footnoteReference w:customMarkFollows="0" w:id="28"/>
      </w:r>
      <w:r w:rsidDel="00000000" w:rsidR="00000000" w:rsidRPr="00000000">
        <w:rPr>
          <w:rtl w:val="0"/>
        </w:rPr>
        <w:t xml:space="preserve"> has been onboarded by the EGI Foundation</w:t>
      </w:r>
    </w:p>
    <w:p w:rsidR="00000000" w:rsidDel="00000000" w:rsidP="00000000" w:rsidRDefault="00000000" w:rsidRPr="00000000" w14:paraId="000000E5">
      <w:pPr>
        <w:numPr>
          <w:ilvl w:val="0"/>
          <w:numId w:val="6"/>
        </w:numPr>
        <w:ind w:left="720" w:hanging="360"/>
        <w:rPr/>
      </w:pPr>
      <w:r w:rsidDel="00000000" w:rsidR="00000000" w:rsidRPr="00000000">
        <w:rPr>
          <w:rtl w:val="0"/>
        </w:rPr>
        <w:t xml:space="preserve">The iMagine AI platform is currently being onboarded by CSIC as a service, along with the user guide as educational content.</w:t>
      </w:r>
    </w:p>
    <w:p w:rsidR="00000000" w:rsidDel="00000000" w:rsidP="00000000" w:rsidRDefault="00000000" w:rsidRPr="00000000" w14:paraId="000000E6">
      <w:pPr>
        <w:numPr>
          <w:ilvl w:val="0"/>
          <w:numId w:val="6"/>
        </w:numPr>
        <w:ind w:left="720" w:hanging="360"/>
        <w:rPr/>
      </w:pPr>
      <w:r w:rsidDel="00000000" w:rsidR="00000000" w:rsidRPr="00000000">
        <w:rPr>
          <w:rtl w:val="0"/>
        </w:rPr>
        <w:t xml:space="preserve">Twelve use cases, exceeding the original plan of eight outlined in D3.2, have been onboarded by their respective use case owners with support from the EGI Foundation, as “Case studies”</w:t>
      </w:r>
      <w:r w:rsidDel="00000000" w:rsidR="00000000" w:rsidRPr="00000000">
        <w:rPr>
          <w:vertAlign w:val="superscript"/>
        </w:rPr>
        <w:footnoteReference w:customMarkFollows="0" w:id="29"/>
      </w:r>
      <w:r w:rsidDel="00000000" w:rsidR="00000000" w:rsidRPr="00000000">
        <w:rPr>
          <w:rtl w:val="0"/>
        </w:rPr>
        <w:t xml:space="preserve"> in the ‘Maritime sector’:</w:t>
      </w:r>
    </w:p>
    <w:p w:rsidR="00000000" w:rsidDel="00000000" w:rsidP="00000000" w:rsidRDefault="00000000" w:rsidRPr="00000000" w14:paraId="000000E7">
      <w:pPr>
        <w:numPr>
          <w:ilvl w:val="1"/>
          <w:numId w:val="7"/>
        </w:numPr>
        <w:ind w:left="1440" w:hanging="360"/>
        <w:rPr/>
      </w:pPr>
      <w:r w:rsidDel="00000000" w:rsidR="00000000" w:rsidRPr="00000000">
        <w:rPr>
          <w:rtl w:val="0"/>
        </w:rPr>
        <w:t xml:space="preserve">Zooscan</w:t>
      </w:r>
      <w:r w:rsidDel="00000000" w:rsidR="00000000" w:rsidRPr="00000000">
        <w:rPr>
          <w:vertAlign w:val="superscript"/>
        </w:rPr>
        <w:footnoteReference w:customMarkFollows="0" w:id="30"/>
      </w:r>
      <w:r w:rsidDel="00000000" w:rsidR="00000000" w:rsidRPr="00000000">
        <w:rPr>
          <w:rtl w:val="0"/>
        </w:rPr>
      </w:r>
    </w:p>
    <w:p w:rsidR="00000000" w:rsidDel="00000000" w:rsidP="00000000" w:rsidRDefault="00000000" w:rsidRPr="00000000" w14:paraId="000000E8">
      <w:pPr>
        <w:numPr>
          <w:ilvl w:val="1"/>
          <w:numId w:val="7"/>
        </w:numPr>
        <w:ind w:left="1440" w:hanging="360"/>
        <w:rPr/>
      </w:pPr>
      <w:r w:rsidDel="00000000" w:rsidR="00000000" w:rsidRPr="00000000">
        <w:rPr>
          <w:rtl w:val="0"/>
        </w:rPr>
        <w:t xml:space="preserve">Underwater Noise Identification</w:t>
      </w:r>
      <w:r w:rsidDel="00000000" w:rsidR="00000000" w:rsidRPr="00000000">
        <w:rPr>
          <w:vertAlign w:val="superscript"/>
        </w:rPr>
        <w:footnoteReference w:customMarkFollows="0" w:id="31"/>
      </w:r>
      <w:r w:rsidDel="00000000" w:rsidR="00000000" w:rsidRPr="00000000">
        <w:rPr>
          <w:rtl w:val="0"/>
        </w:rPr>
      </w:r>
    </w:p>
    <w:p w:rsidR="00000000" w:rsidDel="00000000" w:rsidP="00000000" w:rsidRDefault="00000000" w:rsidRPr="00000000" w14:paraId="000000E9">
      <w:pPr>
        <w:numPr>
          <w:ilvl w:val="1"/>
          <w:numId w:val="7"/>
        </w:numPr>
        <w:ind w:left="1440" w:hanging="360"/>
        <w:rPr/>
      </w:pPr>
      <w:r w:rsidDel="00000000" w:rsidR="00000000" w:rsidRPr="00000000">
        <w:rPr>
          <w:rtl w:val="0"/>
        </w:rPr>
        <w:t xml:space="preserve">Satellite-derived Bathymetry</w:t>
      </w:r>
      <w:r w:rsidDel="00000000" w:rsidR="00000000" w:rsidRPr="00000000">
        <w:rPr>
          <w:vertAlign w:val="superscript"/>
        </w:rPr>
        <w:footnoteReference w:customMarkFollows="0" w:id="32"/>
      </w:r>
      <w:r w:rsidDel="00000000" w:rsidR="00000000" w:rsidRPr="00000000">
        <w:rPr>
          <w:rtl w:val="0"/>
        </w:rPr>
      </w:r>
    </w:p>
    <w:p w:rsidR="00000000" w:rsidDel="00000000" w:rsidP="00000000" w:rsidRDefault="00000000" w:rsidRPr="00000000" w14:paraId="000000EA">
      <w:pPr>
        <w:numPr>
          <w:ilvl w:val="1"/>
          <w:numId w:val="7"/>
        </w:numPr>
        <w:ind w:left="1440" w:hanging="360"/>
        <w:rPr/>
      </w:pPr>
      <w:r w:rsidDel="00000000" w:rsidR="00000000" w:rsidRPr="00000000">
        <w:rPr>
          <w:rtl w:val="0"/>
        </w:rPr>
        <w:t xml:space="preserve">Oil Spill Detection</w:t>
      </w:r>
      <w:r w:rsidDel="00000000" w:rsidR="00000000" w:rsidRPr="00000000">
        <w:rPr>
          <w:vertAlign w:val="superscript"/>
        </w:rPr>
        <w:footnoteReference w:customMarkFollows="0" w:id="33"/>
      </w:r>
      <w:r w:rsidDel="00000000" w:rsidR="00000000" w:rsidRPr="00000000">
        <w:rPr>
          <w:rtl w:val="0"/>
        </w:rPr>
      </w:r>
    </w:p>
    <w:p w:rsidR="00000000" w:rsidDel="00000000" w:rsidP="00000000" w:rsidRDefault="00000000" w:rsidRPr="00000000" w14:paraId="000000EB">
      <w:pPr>
        <w:numPr>
          <w:ilvl w:val="1"/>
          <w:numId w:val="7"/>
        </w:numPr>
        <w:ind w:left="1440" w:hanging="360"/>
        <w:rPr/>
      </w:pPr>
      <w:r w:rsidDel="00000000" w:rsidR="00000000" w:rsidRPr="00000000">
        <w:rPr>
          <w:rtl w:val="0"/>
        </w:rPr>
        <w:t xml:space="preserve">Freshwater Diatoms Identification</w:t>
      </w:r>
      <w:r w:rsidDel="00000000" w:rsidR="00000000" w:rsidRPr="00000000">
        <w:rPr>
          <w:vertAlign w:val="superscript"/>
        </w:rPr>
        <w:footnoteReference w:customMarkFollows="0" w:id="34"/>
      </w:r>
      <w:r w:rsidDel="00000000" w:rsidR="00000000" w:rsidRPr="00000000">
        <w:rPr>
          <w:rtl w:val="0"/>
        </w:rPr>
      </w:r>
    </w:p>
    <w:p w:rsidR="00000000" w:rsidDel="00000000" w:rsidP="00000000" w:rsidRDefault="00000000" w:rsidRPr="00000000" w14:paraId="000000EC">
      <w:pPr>
        <w:numPr>
          <w:ilvl w:val="1"/>
          <w:numId w:val="7"/>
        </w:numPr>
        <w:ind w:left="1440" w:hanging="360"/>
        <w:rPr/>
      </w:pPr>
      <w:r w:rsidDel="00000000" w:rsidR="00000000" w:rsidRPr="00000000">
        <w:rPr>
          <w:rtl w:val="0"/>
        </w:rPr>
        <w:t xml:space="preserve">FlowCam Phytoplankton Identification</w:t>
      </w:r>
      <w:r w:rsidDel="00000000" w:rsidR="00000000" w:rsidRPr="00000000">
        <w:rPr>
          <w:vertAlign w:val="superscript"/>
        </w:rPr>
        <w:footnoteReference w:customMarkFollows="0" w:id="35"/>
      </w:r>
      <w:r w:rsidDel="00000000" w:rsidR="00000000" w:rsidRPr="00000000">
        <w:rPr>
          <w:rtl w:val="0"/>
        </w:rPr>
      </w:r>
    </w:p>
    <w:p w:rsidR="00000000" w:rsidDel="00000000" w:rsidP="00000000" w:rsidRDefault="00000000" w:rsidRPr="00000000" w14:paraId="000000ED">
      <w:pPr>
        <w:numPr>
          <w:ilvl w:val="1"/>
          <w:numId w:val="7"/>
        </w:numPr>
        <w:ind w:left="1440" w:hanging="360"/>
        <w:rPr/>
      </w:pPr>
      <w:r w:rsidDel="00000000" w:rsidR="00000000" w:rsidRPr="00000000">
        <w:rPr>
          <w:rtl w:val="0"/>
        </w:rPr>
        <w:t xml:space="preserve">EyeOnWater</w:t>
      </w:r>
      <w:r w:rsidDel="00000000" w:rsidR="00000000" w:rsidRPr="00000000">
        <w:rPr>
          <w:vertAlign w:val="superscript"/>
        </w:rPr>
        <w:footnoteReference w:customMarkFollows="0" w:id="36"/>
      </w:r>
      <w:r w:rsidDel="00000000" w:rsidR="00000000" w:rsidRPr="00000000">
        <w:rPr>
          <w:rtl w:val="0"/>
        </w:rPr>
      </w:r>
    </w:p>
    <w:p w:rsidR="00000000" w:rsidDel="00000000" w:rsidP="00000000" w:rsidRDefault="00000000" w:rsidRPr="00000000" w14:paraId="000000EE">
      <w:pPr>
        <w:numPr>
          <w:ilvl w:val="1"/>
          <w:numId w:val="7"/>
        </w:numPr>
        <w:ind w:left="1440" w:hanging="360"/>
        <w:rPr/>
      </w:pPr>
      <w:r w:rsidDel="00000000" w:rsidR="00000000" w:rsidRPr="00000000">
        <w:rPr>
          <w:rtl w:val="0"/>
        </w:rPr>
        <w:t xml:space="preserve">Fish Otoliths</w:t>
      </w:r>
      <w:r w:rsidDel="00000000" w:rsidR="00000000" w:rsidRPr="00000000">
        <w:rPr>
          <w:vertAlign w:val="superscript"/>
        </w:rPr>
        <w:footnoteReference w:customMarkFollows="0" w:id="37"/>
      </w:r>
      <w:r w:rsidDel="00000000" w:rsidR="00000000" w:rsidRPr="00000000">
        <w:rPr>
          <w:rtl w:val="0"/>
        </w:rPr>
      </w:r>
    </w:p>
    <w:p w:rsidR="00000000" w:rsidDel="00000000" w:rsidP="00000000" w:rsidRDefault="00000000" w:rsidRPr="00000000" w14:paraId="000000EF">
      <w:pPr>
        <w:numPr>
          <w:ilvl w:val="1"/>
          <w:numId w:val="7"/>
        </w:numPr>
        <w:ind w:left="1440" w:hanging="360"/>
        <w:rPr/>
      </w:pPr>
      <w:r w:rsidDel="00000000" w:rsidR="00000000" w:rsidRPr="00000000">
        <w:rPr>
          <w:rtl w:val="0"/>
        </w:rPr>
        <w:t xml:space="preserve">Ecosystem Monitoring at EMSO Sites by Video Imagery</w:t>
      </w:r>
      <w:r w:rsidDel="00000000" w:rsidR="00000000" w:rsidRPr="00000000">
        <w:rPr>
          <w:vertAlign w:val="superscript"/>
        </w:rPr>
        <w:footnoteReference w:customMarkFollows="0" w:id="38"/>
      </w:r>
      <w:r w:rsidDel="00000000" w:rsidR="00000000" w:rsidRPr="00000000">
        <w:rPr>
          <w:rtl w:val="0"/>
        </w:rPr>
      </w:r>
    </w:p>
    <w:p w:rsidR="00000000" w:rsidDel="00000000" w:rsidP="00000000" w:rsidRDefault="00000000" w:rsidRPr="00000000" w14:paraId="000000F0">
      <w:pPr>
        <w:numPr>
          <w:ilvl w:val="1"/>
          <w:numId w:val="7"/>
        </w:numPr>
        <w:ind w:left="1440" w:hanging="360"/>
        <w:rPr/>
      </w:pPr>
      <w:r w:rsidDel="00000000" w:rsidR="00000000" w:rsidRPr="00000000">
        <w:rPr>
          <w:rtl w:val="0"/>
        </w:rPr>
        <w:t xml:space="preserve">Cold Water Coral Reefs</w:t>
      </w:r>
      <w:r w:rsidDel="00000000" w:rsidR="00000000" w:rsidRPr="00000000">
        <w:rPr>
          <w:vertAlign w:val="superscript"/>
        </w:rPr>
        <w:footnoteReference w:customMarkFollows="0" w:id="39"/>
      </w:r>
      <w:r w:rsidDel="00000000" w:rsidR="00000000" w:rsidRPr="00000000">
        <w:rPr>
          <w:rtl w:val="0"/>
        </w:rPr>
      </w:r>
    </w:p>
    <w:p w:rsidR="00000000" w:rsidDel="00000000" w:rsidP="00000000" w:rsidRDefault="00000000" w:rsidRPr="00000000" w14:paraId="000000F1">
      <w:pPr>
        <w:numPr>
          <w:ilvl w:val="1"/>
          <w:numId w:val="7"/>
        </w:numPr>
        <w:ind w:left="1440" w:hanging="360"/>
        <w:rPr/>
      </w:pPr>
      <w:r w:rsidDel="00000000" w:rsidR="00000000" w:rsidRPr="00000000">
        <w:rPr>
          <w:rtl w:val="0"/>
        </w:rPr>
        <w:t xml:space="preserve">Beach Monitoring</w:t>
      </w:r>
      <w:r w:rsidDel="00000000" w:rsidR="00000000" w:rsidRPr="00000000">
        <w:rPr>
          <w:vertAlign w:val="superscript"/>
        </w:rPr>
        <w:footnoteReference w:customMarkFollows="0" w:id="40"/>
      </w:r>
      <w:r w:rsidDel="00000000" w:rsidR="00000000" w:rsidRPr="00000000">
        <w:rPr>
          <w:rtl w:val="0"/>
        </w:rPr>
      </w:r>
    </w:p>
    <w:p w:rsidR="00000000" w:rsidDel="00000000" w:rsidP="00000000" w:rsidRDefault="00000000" w:rsidRPr="00000000" w14:paraId="000000F2">
      <w:pPr>
        <w:numPr>
          <w:ilvl w:val="1"/>
          <w:numId w:val="7"/>
        </w:numPr>
        <w:ind w:left="1440" w:hanging="360"/>
        <w:rPr/>
      </w:pPr>
      <w:r w:rsidDel="00000000" w:rsidR="00000000" w:rsidRPr="00000000">
        <w:rPr>
          <w:rtl w:val="0"/>
        </w:rPr>
        <w:t xml:space="preserve">Aquatic Litter Drones</w:t>
      </w:r>
      <w:r w:rsidDel="00000000" w:rsidR="00000000" w:rsidRPr="00000000">
        <w:rPr>
          <w:vertAlign w:val="superscript"/>
        </w:rPr>
        <w:footnoteReference w:customMarkFollows="0" w:id="41"/>
      </w:r>
      <w:r w:rsidDel="00000000" w:rsidR="00000000" w:rsidRPr="00000000">
        <w:rPr>
          <w:rtl w:val="0"/>
        </w:rPr>
      </w:r>
    </w:p>
    <w:p w:rsidR="00000000" w:rsidDel="00000000" w:rsidP="00000000" w:rsidRDefault="00000000" w:rsidRPr="00000000" w14:paraId="000000F3">
      <w:pPr>
        <w:ind w:left="0" w:firstLine="0"/>
        <w:rPr/>
      </w:pPr>
      <w:r w:rsidDel="00000000" w:rsidR="00000000" w:rsidRPr="00000000">
        <w:rPr>
          <w:rtl w:val="0"/>
        </w:rPr>
        <w:t xml:space="preserve">The use cases have not been onboarded as “Research bundles", as originally envisioned in D3.2, since “Research Bundles” are not planned for migration to the new metadata catalogue. Instead, they have been onboarded as “AI services”, as planned:</w:t>
      </w:r>
    </w:p>
    <w:p w:rsidR="00000000" w:rsidDel="00000000" w:rsidP="00000000" w:rsidRDefault="00000000" w:rsidRPr="00000000" w14:paraId="000000F4">
      <w:pPr>
        <w:numPr>
          <w:ilvl w:val="0"/>
          <w:numId w:val="5"/>
        </w:numPr>
        <w:ind w:left="1440" w:hanging="360"/>
        <w:rPr/>
      </w:pPr>
      <w:r w:rsidDel="00000000" w:rsidR="00000000" w:rsidRPr="00000000">
        <w:rPr>
          <w:rtl w:val="0"/>
        </w:rPr>
        <w:t xml:space="preserve">Litter Assessment Service</w:t>
      </w:r>
      <w:r w:rsidDel="00000000" w:rsidR="00000000" w:rsidRPr="00000000">
        <w:rPr>
          <w:vertAlign w:val="superscript"/>
        </w:rPr>
        <w:footnoteReference w:customMarkFollows="0" w:id="42"/>
      </w:r>
      <w:r w:rsidDel="00000000" w:rsidR="00000000" w:rsidRPr="00000000">
        <w:rPr>
          <w:rtl w:val="0"/>
        </w:rPr>
      </w:r>
    </w:p>
    <w:p w:rsidR="00000000" w:rsidDel="00000000" w:rsidP="00000000" w:rsidRDefault="00000000" w:rsidRPr="00000000" w14:paraId="000000F5">
      <w:pPr>
        <w:numPr>
          <w:ilvl w:val="0"/>
          <w:numId w:val="5"/>
        </w:numPr>
        <w:ind w:left="1440" w:hanging="360"/>
        <w:rPr/>
      </w:pPr>
      <w:r w:rsidDel="00000000" w:rsidR="00000000" w:rsidRPr="00000000">
        <w:rPr>
          <w:rtl w:val="0"/>
        </w:rPr>
        <w:t xml:space="preserve">ZooProcess Multiple Separator</w:t>
      </w:r>
      <w:r w:rsidDel="00000000" w:rsidR="00000000" w:rsidRPr="00000000">
        <w:rPr>
          <w:vertAlign w:val="superscript"/>
        </w:rPr>
        <w:footnoteReference w:customMarkFollows="0" w:id="43"/>
      </w:r>
      <w:r w:rsidDel="00000000" w:rsidR="00000000" w:rsidRPr="00000000">
        <w:rPr>
          <w:rtl w:val="0"/>
        </w:rPr>
      </w:r>
    </w:p>
    <w:p w:rsidR="00000000" w:rsidDel="00000000" w:rsidP="00000000" w:rsidRDefault="00000000" w:rsidRPr="00000000" w14:paraId="000000F6">
      <w:pPr>
        <w:numPr>
          <w:ilvl w:val="0"/>
          <w:numId w:val="5"/>
        </w:numPr>
        <w:ind w:left="1440" w:hanging="360"/>
        <w:rPr/>
      </w:pPr>
      <w:r w:rsidDel="00000000" w:rsidR="00000000" w:rsidRPr="00000000">
        <w:rPr>
          <w:rtl w:val="0"/>
        </w:rPr>
        <w:t xml:space="preserve">ZooProcess Multiple Classifier</w:t>
      </w:r>
      <w:r w:rsidDel="00000000" w:rsidR="00000000" w:rsidRPr="00000000">
        <w:rPr>
          <w:vertAlign w:val="superscript"/>
        </w:rPr>
        <w:footnoteReference w:customMarkFollows="0" w:id="44"/>
      </w:r>
      <w:r w:rsidDel="00000000" w:rsidR="00000000" w:rsidRPr="00000000">
        <w:rPr>
          <w:rtl w:val="0"/>
        </w:rPr>
      </w:r>
    </w:p>
    <w:p w:rsidR="00000000" w:rsidDel="00000000" w:rsidP="00000000" w:rsidRDefault="00000000" w:rsidRPr="00000000" w14:paraId="000000F7">
      <w:pPr>
        <w:numPr>
          <w:ilvl w:val="0"/>
          <w:numId w:val="5"/>
        </w:numPr>
        <w:ind w:left="1440" w:hanging="360"/>
        <w:rPr/>
      </w:pPr>
      <w:r w:rsidDel="00000000" w:rsidR="00000000" w:rsidRPr="00000000">
        <w:rPr>
          <w:rtl w:val="0"/>
        </w:rPr>
        <w:t xml:space="preserve">Smartbay prawn burrow detection</w:t>
      </w:r>
      <w:r w:rsidDel="00000000" w:rsidR="00000000" w:rsidRPr="00000000">
        <w:rPr>
          <w:vertAlign w:val="superscript"/>
        </w:rPr>
        <w:footnoteReference w:customMarkFollows="0" w:id="45"/>
      </w:r>
      <w:r w:rsidDel="00000000" w:rsidR="00000000" w:rsidRPr="00000000">
        <w:rPr>
          <w:rtl w:val="0"/>
        </w:rPr>
      </w:r>
    </w:p>
    <w:p w:rsidR="00000000" w:rsidDel="00000000" w:rsidP="00000000" w:rsidRDefault="00000000" w:rsidRPr="00000000" w14:paraId="000000F8">
      <w:pPr>
        <w:numPr>
          <w:ilvl w:val="0"/>
          <w:numId w:val="5"/>
        </w:numPr>
        <w:ind w:left="1440" w:hanging="360"/>
        <w:rPr/>
      </w:pPr>
      <w:r w:rsidDel="00000000" w:rsidR="00000000" w:rsidRPr="00000000">
        <w:rPr>
          <w:rtl w:val="0"/>
        </w:rPr>
        <w:t xml:space="preserve">Deep Species Detection</w:t>
      </w:r>
      <w:r w:rsidDel="00000000" w:rsidR="00000000" w:rsidRPr="00000000">
        <w:rPr>
          <w:vertAlign w:val="superscript"/>
        </w:rPr>
        <w:footnoteReference w:customMarkFollows="0" w:id="46"/>
      </w:r>
      <w:r w:rsidDel="00000000" w:rsidR="00000000" w:rsidRPr="00000000">
        <w:rPr>
          <w:rtl w:val="0"/>
        </w:rPr>
      </w:r>
    </w:p>
    <w:p w:rsidR="00000000" w:rsidDel="00000000" w:rsidP="00000000" w:rsidRDefault="00000000" w:rsidRPr="00000000" w14:paraId="000000F9">
      <w:pPr>
        <w:numPr>
          <w:ilvl w:val="0"/>
          <w:numId w:val="5"/>
        </w:numPr>
        <w:ind w:left="1440" w:hanging="360"/>
        <w:rPr/>
      </w:pPr>
      <w:r w:rsidDel="00000000" w:rsidR="00000000" w:rsidRPr="00000000">
        <w:rPr>
          <w:rtl w:val="0"/>
        </w:rPr>
        <w:t xml:space="preserve">Smartbay species detection</w:t>
      </w:r>
      <w:r w:rsidDel="00000000" w:rsidR="00000000" w:rsidRPr="00000000">
        <w:rPr>
          <w:vertAlign w:val="superscript"/>
        </w:rPr>
        <w:footnoteReference w:customMarkFollows="0" w:id="47"/>
      </w:r>
      <w:r w:rsidDel="00000000" w:rsidR="00000000" w:rsidRPr="00000000">
        <w:rPr>
          <w:rtl w:val="0"/>
        </w:rPr>
      </w:r>
    </w:p>
    <w:p w:rsidR="00000000" w:rsidDel="00000000" w:rsidP="00000000" w:rsidRDefault="00000000" w:rsidRPr="00000000" w14:paraId="000000FA">
      <w:pPr>
        <w:numPr>
          <w:ilvl w:val="0"/>
          <w:numId w:val="5"/>
        </w:numPr>
        <w:ind w:left="1440" w:hanging="360"/>
        <w:rPr>
          <w:u w:val="none"/>
        </w:rPr>
      </w:pPr>
      <w:r w:rsidDel="00000000" w:rsidR="00000000" w:rsidRPr="00000000">
        <w:rPr>
          <w:rtl w:val="0"/>
        </w:rPr>
        <w:t xml:space="preserve">Real-time fish detection at EMSO sites</w:t>
      </w:r>
      <w:r w:rsidDel="00000000" w:rsidR="00000000" w:rsidRPr="00000000">
        <w:rPr>
          <w:vertAlign w:val="superscript"/>
        </w:rPr>
        <w:footnoteReference w:customMarkFollows="0" w:id="48"/>
      </w:r>
      <w:r w:rsidDel="00000000" w:rsidR="00000000" w:rsidRPr="00000000">
        <w:rPr>
          <w:rtl w:val="0"/>
        </w:rPr>
      </w:r>
    </w:p>
    <w:p w:rsidR="00000000" w:rsidDel="00000000" w:rsidP="00000000" w:rsidRDefault="00000000" w:rsidRPr="00000000" w14:paraId="000000FB">
      <w:pPr>
        <w:numPr>
          <w:ilvl w:val="0"/>
          <w:numId w:val="5"/>
        </w:numPr>
        <w:ind w:left="1440" w:hanging="360"/>
        <w:rPr/>
      </w:pPr>
      <w:r w:rsidDel="00000000" w:rsidR="00000000" w:rsidRPr="00000000">
        <w:rPr>
          <w:rtl w:val="0"/>
        </w:rPr>
        <w:t xml:space="preserve">WITOIL Cloud for iMagine</w:t>
      </w:r>
      <w:r w:rsidDel="00000000" w:rsidR="00000000" w:rsidRPr="00000000">
        <w:rPr>
          <w:vertAlign w:val="superscript"/>
        </w:rPr>
        <w:footnoteReference w:customMarkFollows="0" w:id="49"/>
      </w:r>
      <w:r w:rsidDel="00000000" w:rsidR="00000000" w:rsidRPr="00000000">
        <w:rPr>
          <w:rtl w:val="0"/>
        </w:rPr>
      </w:r>
    </w:p>
    <w:p w:rsidR="00000000" w:rsidDel="00000000" w:rsidP="00000000" w:rsidRDefault="00000000" w:rsidRPr="00000000" w14:paraId="000000FC">
      <w:pPr>
        <w:numPr>
          <w:ilvl w:val="0"/>
          <w:numId w:val="6"/>
        </w:numPr>
        <w:ind w:left="720" w:hanging="360"/>
        <w:rPr/>
      </w:pPr>
      <w:r w:rsidDel="00000000" w:rsidR="00000000" w:rsidRPr="00000000">
        <w:rPr>
          <w:rtl w:val="0"/>
        </w:rPr>
        <w:t xml:space="preserve">The open call for new use cases</w:t>
      </w:r>
      <w:r w:rsidDel="00000000" w:rsidR="00000000" w:rsidRPr="00000000">
        <w:rPr>
          <w:vertAlign w:val="superscript"/>
        </w:rPr>
        <w:footnoteReference w:customMarkFollows="0" w:id="50"/>
      </w:r>
      <w:r w:rsidDel="00000000" w:rsidR="00000000" w:rsidRPr="00000000">
        <w:rPr>
          <w:rtl w:val="0"/>
        </w:rPr>
        <w:t xml:space="preserve"> to support the iMagine platform has been onboarded by the EGI Foundation.</w:t>
      </w:r>
    </w:p>
    <w:p w:rsidR="00000000" w:rsidDel="00000000" w:rsidP="00000000" w:rsidRDefault="00000000" w:rsidRPr="00000000" w14:paraId="000000FD">
      <w:pPr>
        <w:numPr>
          <w:ilvl w:val="0"/>
          <w:numId w:val="6"/>
        </w:numPr>
        <w:ind w:left="720" w:hanging="360"/>
        <w:rPr/>
      </w:pPr>
      <w:r w:rsidDel="00000000" w:rsidR="00000000" w:rsidRPr="00000000">
        <w:rPr>
          <w:rtl w:val="0"/>
        </w:rPr>
        <w:t xml:space="preserve">iMagine good practice guides for the development/adoption of AI/ML in aquatic sciences</w:t>
      </w:r>
      <w:r w:rsidDel="00000000" w:rsidR="00000000" w:rsidRPr="00000000">
        <w:rPr>
          <w:vertAlign w:val="superscript"/>
        </w:rPr>
        <w:footnoteReference w:customMarkFollows="0" w:id="51"/>
      </w:r>
      <w:r w:rsidDel="00000000" w:rsidR="00000000" w:rsidRPr="00000000">
        <w:rPr>
          <w:vertAlign w:val="superscript"/>
          <w:rtl w:val="0"/>
        </w:rPr>
        <w:t xml:space="preserve">,</w:t>
      </w:r>
      <w:r w:rsidDel="00000000" w:rsidR="00000000" w:rsidRPr="00000000">
        <w:rPr>
          <w:vertAlign w:val="superscript"/>
        </w:rPr>
        <w:footnoteReference w:customMarkFollows="0" w:id="52"/>
      </w:r>
      <w:r w:rsidDel="00000000" w:rsidR="00000000" w:rsidRPr="00000000">
        <w:rPr>
          <w:rtl w:val="0"/>
        </w:rPr>
        <w:t xml:space="preserve"> have been onboarded by EGI Foundation.</w:t>
      </w:r>
    </w:p>
    <w:p w:rsidR="00000000" w:rsidDel="00000000" w:rsidP="00000000" w:rsidRDefault="00000000" w:rsidRPr="00000000" w14:paraId="000000FE">
      <w:pPr>
        <w:ind w:left="0" w:firstLine="0"/>
        <w:rPr/>
      </w:pPr>
      <w:r w:rsidDel="00000000" w:rsidR="00000000" w:rsidRPr="00000000">
        <w:rPr>
          <w:rtl w:val="0"/>
        </w:rPr>
      </w:r>
    </w:p>
    <w:p w:rsidR="00000000" w:rsidDel="00000000" w:rsidP="00000000" w:rsidRDefault="00000000" w:rsidRPr="00000000" w14:paraId="000000FF">
      <w:pPr>
        <w:ind w:firstLine="0"/>
        <w:rPr/>
      </w:pPr>
      <w:r w:rsidDel="00000000" w:rsidR="00000000" w:rsidRPr="00000000">
        <w:rPr>
          <w:rtl w:val="0"/>
        </w:rPr>
        <w:t xml:space="preserve">While the above-onboarded assets of the project will be migrated to the new metadata catalogue, datasets uploaded to Zenodo are already automatically harvested and made discoverable via the AIoD core API. Once this functionality is extended to include publications, references to deliverables, and other similar outputs of the project available on Zenodo will also be included in the AIoD platform.</w:t>
      </w:r>
    </w:p>
    <w:p w:rsidR="00000000" w:rsidDel="00000000" w:rsidP="00000000" w:rsidRDefault="00000000" w:rsidRPr="00000000" w14:paraId="00000100">
      <w:pPr>
        <w:ind w:firstLine="0"/>
        <w:rPr/>
      </w:pPr>
      <w:r w:rsidDel="00000000" w:rsidR="00000000" w:rsidRPr="00000000">
        <w:rPr>
          <w:rtl w:val="0"/>
        </w:rPr>
        <w:t xml:space="preserve">In the coming months, the project will focus on achieving closer integration with the new AIoD platform. This represents a significant opportunity for this project to position itself as one of the AIoD nodes, and be ready once the rules of participation are established.</w:t>
      </w:r>
    </w:p>
    <w:p w:rsidR="00000000" w:rsidDel="00000000" w:rsidP="00000000" w:rsidRDefault="00000000" w:rsidRPr="00000000" w14:paraId="00000101">
      <w:pPr>
        <w:pStyle w:val="Heading2"/>
        <w:numPr>
          <w:ilvl w:val="1"/>
          <w:numId w:val="2"/>
        </w:numPr>
        <w:ind w:left="779.5275590551182" w:hanging="360"/>
        <w:rPr>
          <w:u w:val="none"/>
        </w:rPr>
      </w:pPr>
      <w:bookmarkStart w:colFirst="0" w:colLast="0" w:name="_heading=h.4i7ojhp" w:id="22"/>
      <w:bookmarkEnd w:id="22"/>
      <w:r w:rsidDel="00000000" w:rsidR="00000000" w:rsidRPr="00000000">
        <w:rPr>
          <w:rtl w:val="0"/>
        </w:rPr>
        <w:t xml:space="preserve">AIoD Liaison Plan</w:t>
      </w:r>
      <w:r w:rsidDel="00000000" w:rsidR="00000000" w:rsidRPr="00000000">
        <w:rPr>
          <w:rtl w:val="0"/>
        </w:rPr>
      </w:r>
    </w:p>
    <w:p w:rsidR="00000000" w:rsidDel="00000000" w:rsidP="00000000" w:rsidRDefault="00000000" w:rsidRPr="00000000" w14:paraId="00000102">
      <w:pPr>
        <w:ind w:firstLine="0"/>
        <w:rPr/>
      </w:pPr>
      <w:r w:rsidDel="00000000" w:rsidR="00000000" w:rsidRPr="00000000">
        <w:rPr>
          <w:rtl w:val="0"/>
        </w:rPr>
        <w:t xml:space="preserve">The AI4EU project established an Open Distributed Development Process to enable interested parties to contribute to the platform by implementing valuable features. Several working groups, open to communities beyond AI4EU, have been working on various topics, such as technical governance and ontology. Building on this approach, the AI4Europe project has adopted a similar process to drive the development of the AIoD platform, and plans to establish four working groups with the following objectives:</w:t>
      </w:r>
    </w:p>
    <w:p w:rsidR="00000000" w:rsidDel="00000000" w:rsidP="00000000" w:rsidRDefault="00000000" w:rsidRPr="00000000" w14:paraId="00000103">
      <w:pPr>
        <w:numPr>
          <w:ilvl w:val="0"/>
          <w:numId w:val="12"/>
        </w:numPr>
        <w:ind w:left="720" w:hanging="360"/>
        <w:rPr/>
      </w:pPr>
      <w:r w:rsidDel="00000000" w:rsidR="00000000" w:rsidRPr="00000000">
        <w:rPr>
          <w:rtl w:val="0"/>
        </w:rPr>
        <w:t xml:space="preserve">Identify, in collaboration with the community, further technical developments of the platform.</w:t>
      </w:r>
    </w:p>
    <w:p w:rsidR="00000000" w:rsidDel="00000000" w:rsidP="00000000" w:rsidRDefault="00000000" w:rsidRPr="00000000" w14:paraId="00000104">
      <w:pPr>
        <w:numPr>
          <w:ilvl w:val="0"/>
          <w:numId w:val="12"/>
        </w:numPr>
        <w:ind w:left="720" w:hanging="360"/>
        <w:rPr/>
      </w:pPr>
      <w:r w:rsidDel="00000000" w:rsidR="00000000" w:rsidRPr="00000000">
        <w:rPr>
          <w:rtl w:val="0"/>
        </w:rPr>
        <w:t xml:space="preserve">Support the community in uploading content to the platform.</w:t>
      </w:r>
    </w:p>
    <w:p w:rsidR="00000000" w:rsidDel="00000000" w:rsidP="00000000" w:rsidRDefault="00000000" w:rsidRPr="00000000" w14:paraId="00000105">
      <w:pPr>
        <w:numPr>
          <w:ilvl w:val="0"/>
          <w:numId w:val="12"/>
        </w:numPr>
        <w:ind w:left="720" w:hanging="360"/>
        <w:rPr/>
      </w:pPr>
      <w:r w:rsidDel="00000000" w:rsidR="00000000" w:rsidRPr="00000000">
        <w:rPr>
          <w:rtl w:val="0"/>
        </w:rPr>
        <w:t xml:space="preserve">Engage with the community and provide support for using the platform.</w:t>
      </w:r>
    </w:p>
    <w:p w:rsidR="00000000" w:rsidDel="00000000" w:rsidP="00000000" w:rsidRDefault="00000000" w:rsidRPr="00000000" w14:paraId="00000106">
      <w:pPr>
        <w:numPr>
          <w:ilvl w:val="0"/>
          <w:numId w:val="12"/>
        </w:numPr>
        <w:ind w:left="720" w:hanging="360"/>
        <w:rPr/>
      </w:pPr>
      <w:r w:rsidDel="00000000" w:rsidR="00000000" w:rsidRPr="00000000">
        <w:rPr>
          <w:rtl w:val="0"/>
        </w:rPr>
        <w:t xml:space="preserve">Ensure ethical AI practices align with regulations such as GDPR and AI act.</w:t>
      </w:r>
    </w:p>
    <w:p w:rsidR="00000000" w:rsidDel="00000000" w:rsidP="00000000" w:rsidRDefault="00000000" w:rsidRPr="00000000" w14:paraId="00000107">
      <w:pPr>
        <w:ind w:firstLine="0"/>
        <w:rPr/>
      </w:pPr>
      <w:r w:rsidDel="00000000" w:rsidR="00000000" w:rsidRPr="00000000">
        <w:rPr>
          <w:rtl w:val="0"/>
        </w:rPr>
        <w:t xml:space="preserve">Currently, only the Technical Coordination Board</w:t>
      </w:r>
      <w:r w:rsidDel="00000000" w:rsidR="00000000" w:rsidRPr="00000000">
        <w:rPr>
          <w:vertAlign w:val="superscript"/>
        </w:rPr>
        <w:footnoteReference w:customMarkFollows="0" w:id="53"/>
      </w:r>
      <w:r w:rsidDel="00000000" w:rsidR="00000000" w:rsidRPr="00000000">
        <w:rPr>
          <w:rtl w:val="0"/>
        </w:rPr>
        <w:t xml:space="preserve"> (TCB) is active. The TCB oversees the progress of technical contributions, moderates discussions on technical issues and facilitates connections between technical platform experts and contributors. iMagine is actively participating in the TCB and plans to engage with the relevant working groups once they are established. Additionally, iMagine will participate in activities that promote its role as a potential stakeholder while closely monitoring the evolution of the AIoD platform and its development process, including sustainability mechanisms intended to support external projects. This engagement is further facilitated by the EGI Foundation, the coordinator of the iMagine project, which is also contributing to the AIoD platform, as a participating member of the AI4Europe project. This involvement ensures that iMagine receives first-hand information about new features, and opportunities as they become available. </w:t>
      </w:r>
    </w:p>
    <w:p w:rsidR="00000000" w:rsidDel="00000000" w:rsidP="00000000" w:rsidRDefault="00000000" w:rsidRPr="00000000" w14:paraId="00000108">
      <w:pPr>
        <w:ind w:firstLine="0"/>
        <w:rPr/>
      </w:pPr>
      <w:r w:rsidDel="00000000" w:rsidR="00000000" w:rsidRPr="00000000">
        <w:rPr>
          <w:rtl w:val="0"/>
        </w:rPr>
        <w:t xml:space="preserve">The liaisons will also extend to the Digital Europe project, DeployAI, which started at the beginning of 2024. DeployAI targets the AI innovation community, particularly SMEs and public administrations, and will take over responsibility for the management, development and facilitation of the AIoD platform once the AI4Europe project is over. Through these connections, iMagine aims to strengthen its presence within the AIoD community, ensuring visibility, alignment with ongoing developments, and opportunities for exploitation.</w:t>
      </w:r>
      <w:r w:rsidDel="00000000" w:rsidR="00000000" w:rsidRPr="00000000">
        <w:br w:type="page"/>
      </w:r>
      <w:r w:rsidDel="00000000" w:rsidR="00000000" w:rsidRPr="00000000">
        <w:rPr>
          <w:rtl w:val="0"/>
        </w:rPr>
      </w:r>
    </w:p>
    <w:p w:rsidR="00000000" w:rsidDel="00000000" w:rsidP="00000000" w:rsidRDefault="00000000" w:rsidRPr="00000000" w14:paraId="00000109">
      <w:pPr>
        <w:pStyle w:val="Heading1"/>
        <w:numPr>
          <w:ilvl w:val="0"/>
          <w:numId w:val="2"/>
        </w:numPr>
        <w:ind w:left="566.9291338582675" w:hanging="360"/>
        <w:jc w:val="left"/>
        <w:rPr>
          <w:u w:val="none"/>
        </w:rPr>
      </w:pPr>
      <w:bookmarkStart w:colFirst="0" w:colLast="0" w:name="_heading=h.2xcytpi" w:id="23"/>
      <w:bookmarkEnd w:id="23"/>
      <w:r w:rsidDel="00000000" w:rsidR="00000000" w:rsidRPr="00000000">
        <w:rPr>
          <w:rtl w:val="0"/>
        </w:rPr>
        <w:t xml:space="preserve">Acronyms</w:t>
      </w:r>
      <w:r w:rsidDel="00000000" w:rsidR="00000000" w:rsidRPr="00000000">
        <w:rPr>
          <w:rtl w:val="0"/>
        </w:rPr>
      </w:r>
    </w:p>
    <w:tbl>
      <w:tblPr>
        <w:tblStyle w:val="Table4"/>
        <w:tblW w:w="9030.0" w:type="dxa"/>
        <w:jc w:val="left"/>
        <w:tblLayout w:type="fixed"/>
        <w:tblLook w:val="0600"/>
      </w:tblPr>
      <w:tblGrid>
        <w:gridCol w:w="3528.4246575342463"/>
        <w:gridCol w:w="5501.575342465754"/>
        <w:tblGridChange w:id="0">
          <w:tblGrid>
            <w:gridCol w:w="3528.4246575342463"/>
            <w:gridCol w:w="5501.575342465754"/>
          </w:tblGrid>
        </w:tblGridChange>
      </w:tblGrid>
      <w:tr>
        <w:trPr>
          <w:cantSplit w:val="0"/>
          <w:trHeight w:val="547.8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A">
            <w:pPr>
              <w:tabs>
                <w:tab w:val="right" w:leader="none" w:pos="9060"/>
              </w:tabs>
              <w:spacing w:after="160" w:lineRule="auto"/>
              <w:jc w:val="left"/>
              <w:rPr/>
            </w:pPr>
            <w:r w:rsidDel="00000000" w:rsidR="00000000" w:rsidRPr="00000000">
              <w:rPr>
                <w:rtl w:val="0"/>
              </w:rPr>
              <w:t xml:space="preserve">AI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B">
            <w:pPr>
              <w:tabs>
                <w:tab w:val="right" w:leader="none" w:pos="9060"/>
              </w:tabs>
              <w:spacing w:after="160" w:lineRule="auto"/>
              <w:jc w:val="left"/>
              <w:rPr/>
            </w:pPr>
            <w:r w:rsidDel="00000000" w:rsidR="00000000" w:rsidRPr="00000000">
              <w:rPr>
                <w:rtl w:val="0"/>
              </w:rPr>
              <w:t xml:space="preserve">Artificial Intelligence</w:t>
            </w:r>
          </w:p>
        </w:tc>
      </w:tr>
      <w:tr>
        <w:trPr>
          <w:cantSplit w:val="0"/>
          <w:trHeight w:val="547.8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C">
            <w:pPr>
              <w:tabs>
                <w:tab w:val="right" w:leader="none" w:pos="9060"/>
              </w:tabs>
              <w:spacing w:after="160" w:lineRule="auto"/>
              <w:jc w:val="left"/>
              <w:rPr/>
            </w:pPr>
            <w:r w:rsidDel="00000000" w:rsidR="00000000" w:rsidRPr="00000000">
              <w:rPr>
                <w:rtl w:val="0"/>
              </w:rPr>
              <w:t xml:space="preserve">AAI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D">
            <w:pPr>
              <w:tabs>
                <w:tab w:val="right" w:leader="none" w:pos="9060"/>
              </w:tabs>
              <w:spacing w:after="160" w:lineRule="auto"/>
              <w:jc w:val="left"/>
              <w:rPr/>
            </w:pPr>
            <w:r w:rsidDel="00000000" w:rsidR="00000000" w:rsidRPr="00000000">
              <w:rPr>
                <w:rtl w:val="0"/>
              </w:rPr>
              <w:t xml:space="preserve">Authentication and Authorisation Infrastructure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E">
            <w:pPr>
              <w:tabs>
                <w:tab w:val="right" w:leader="none" w:pos="9060"/>
              </w:tabs>
              <w:spacing w:after="160" w:line="240" w:lineRule="auto"/>
              <w:jc w:val="left"/>
              <w:rPr/>
            </w:pPr>
            <w:r w:rsidDel="00000000" w:rsidR="00000000" w:rsidRPr="00000000">
              <w:rPr>
                <w:rtl w:val="0"/>
              </w:rPr>
              <w:t xml:space="preserve">AIoD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F">
            <w:pPr>
              <w:tabs>
                <w:tab w:val="right" w:leader="none" w:pos="9060"/>
              </w:tabs>
              <w:spacing w:after="160" w:line="240" w:lineRule="auto"/>
              <w:jc w:val="left"/>
              <w:rPr/>
            </w:pPr>
            <w:r w:rsidDel="00000000" w:rsidR="00000000" w:rsidRPr="00000000">
              <w:rPr>
                <w:rtl w:val="0"/>
              </w:rPr>
              <w:t xml:space="preserve">AI-on-demand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0">
            <w:pPr>
              <w:tabs>
                <w:tab w:val="right" w:leader="none" w:pos="9060"/>
              </w:tabs>
              <w:spacing w:after="160" w:line="240" w:lineRule="auto"/>
              <w:jc w:val="left"/>
              <w:rPr/>
            </w:pPr>
            <w:r w:rsidDel="00000000" w:rsidR="00000000" w:rsidRPr="00000000">
              <w:rPr>
                <w:rtl w:val="0"/>
              </w:rPr>
              <w:t xml:space="preserve">API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1">
            <w:pPr>
              <w:tabs>
                <w:tab w:val="right" w:leader="none" w:pos="9060"/>
              </w:tabs>
              <w:spacing w:after="160" w:line="240" w:lineRule="auto"/>
              <w:jc w:val="left"/>
              <w:rPr/>
            </w:pPr>
            <w:r w:rsidDel="00000000" w:rsidR="00000000" w:rsidRPr="00000000">
              <w:rPr>
                <w:rtl w:val="0"/>
              </w:rPr>
              <w:t xml:space="preserve">Application Programming Interface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2">
            <w:pPr>
              <w:tabs>
                <w:tab w:val="right" w:leader="none" w:pos="9060"/>
              </w:tabs>
              <w:spacing w:after="160" w:line="240" w:lineRule="auto"/>
              <w:jc w:val="left"/>
              <w:rPr/>
            </w:pPr>
            <w:r w:rsidDel="00000000" w:rsidR="00000000" w:rsidRPr="00000000">
              <w:rPr>
                <w:rtl w:val="0"/>
              </w:rPr>
              <w:t xml:space="preserve">CMS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3">
            <w:pPr>
              <w:tabs>
                <w:tab w:val="right" w:leader="none" w:pos="9060"/>
              </w:tabs>
              <w:spacing w:after="160" w:line="240" w:lineRule="auto"/>
              <w:jc w:val="left"/>
              <w:rPr/>
            </w:pPr>
            <w:r w:rsidDel="00000000" w:rsidR="00000000" w:rsidRPr="00000000">
              <w:rPr>
                <w:rtl w:val="0"/>
              </w:rPr>
              <w:t xml:space="preserve">Content Management System</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4">
            <w:pPr>
              <w:tabs>
                <w:tab w:val="right" w:leader="none" w:pos="9060"/>
              </w:tabs>
              <w:spacing w:after="160" w:line="240" w:lineRule="auto"/>
              <w:jc w:val="left"/>
              <w:rPr/>
            </w:pPr>
            <w:r w:rsidDel="00000000" w:rsidR="00000000" w:rsidRPr="00000000">
              <w:rPr>
                <w:rtl w:val="0"/>
              </w:rPr>
              <w:t xml:space="preserve">EU</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5">
            <w:pPr>
              <w:tabs>
                <w:tab w:val="right" w:leader="none" w:pos="9060"/>
              </w:tabs>
              <w:spacing w:after="160" w:line="240" w:lineRule="auto"/>
              <w:jc w:val="left"/>
              <w:rPr/>
            </w:pPr>
            <w:r w:rsidDel="00000000" w:rsidR="00000000" w:rsidRPr="00000000">
              <w:rPr>
                <w:rtl w:val="0"/>
              </w:rPr>
              <w:t xml:space="preserve">European Union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6">
            <w:pPr>
              <w:tabs>
                <w:tab w:val="right" w:leader="none" w:pos="9060"/>
              </w:tabs>
              <w:spacing w:after="160" w:line="240" w:lineRule="auto"/>
              <w:jc w:val="left"/>
              <w:rPr/>
            </w:pPr>
            <w:r w:rsidDel="00000000" w:rsidR="00000000" w:rsidRPr="00000000">
              <w:rPr>
                <w:rtl w:val="0"/>
              </w:rPr>
              <w:t xml:space="preserve">EOSC</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7">
            <w:pPr>
              <w:tabs>
                <w:tab w:val="right" w:leader="none" w:pos="9060"/>
              </w:tabs>
              <w:spacing w:after="160" w:line="240" w:lineRule="auto"/>
              <w:jc w:val="left"/>
              <w:rPr/>
            </w:pPr>
            <w:r w:rsidDel="00000000" w:rsidR="00000000" w:rsidRPr="00000000">
              <w:rPr>
                <w:rtl w:val="0"/>
              </w:rPr>
              <w:t xml:space="preserve">European Open Science Cloud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8">
            <w:pPr>
              <w:tabs>
                <w:tab w:val="right" w:leader="none" w:pos="9060"/>
              </w:tabs>
              <w:spacing w:after="160" w:line="240" w:lineRule="auto"/>
              <w:jc w:val="left"/>
              <w:rPr/>
            </w:pPr>
            <w:r w:rsidDel="00000000" w:rsidR="00000000" w:rsidRPr="00000000">
              <w:rPr>
                <w:rtl w:val="0"/>
              </w:rPr>
              <w:t xml:space="preserve">FAIR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9">
            <w:pPr>
              <w:tabs>
                <w:tab w:val="right" w:leader="none" w:pos="9060"/>
              </w:tabs>
              <w:spacing w:after="160" w:line="240" w:lineRule="auto"/>
              <w:jc w:val="left"/>
              <w:rPr/>
            </w:pPr>
            <w:r w:rsidDel="00000000" w:rsidR="00000000" w:rsidRPr="00000000">
              <w:rPr>
                <w:rtl w:val="0"/>
              </w:rPr>
              <w:t xml:space="preserve">Findable Accessible Interoperable Reusable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A">
            <w:pPr>
              <w:tabs>
                <w:tab w:val="right" w:leader="none" w:pos="9060"/>
              </w:tabs>
              <w:spacing w:after="160" w:line="240" w:lineRule="auto"/>
              <w:jc w:val="left"/>
              <w:rPr/>
            </w:pPr>
            <w:r w:rsidDel="00000000" w:rsidR="00000000" w:rsidRPr="00000000">
              <w:rPr>
                <w:rtl w:val="0"/>
              </w:rPr>
              <w:t xml:space="preserve">GDPR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B">
            <w:pPr>
              <w:tabs>
                <w:tab w:val="right" w:leader="none" w:pos="9060"/>
              </w:tabs>
              <w:spacing w:after="160" w:line="240" w:lineRule="auto"/>
              <w:jc w:val="left"/>
              <w:rPr/>
            </w:pPr>
            <w:r w:rsidDel="00000000" w:rsidR="00000000" w:rsidRPr="00000000">
              <w:rPr>
                <w:rtl w:val="0"/>
              </w:rPr>
              <w:t xml:space="preserve">General Data Protection Regulation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C">
            <w:pPr>
              <w:tabs>
                <w:tab w:val="right" w:leader="none" w:pos="9060"/>
              </w:tabs>
              <w:spacing w:after="160" w:line="240" w:lineRule="auto"/>
              <w:jc w:val="left"/>
              <w:rPr/>
            </w:pPr>
            <w:r w:rsidDel="00000000" w:rsidR="00000000" w:rsidRPr="00000000">
              <w:rPr>
                <w:rtl w:val="0"/>
              </w:rPr>
              <w:t xml:space="preserve">RI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D">
            <w:pPr>
              <w:tabs>
                <w:tab w:val="right" w:leader="none" w:pos="9060"/>
              </w:tabs>
              <w:spacing w:after="160" w:line="240" w:lineRule="auto"/>
              <w:jc w:val="left"/>
              <w:rPr/>
            </w:pPr>
            <w:r w:rsidDel="00000000" w:rsidR="00000000" w:rsidRPr="00000000">
              <w:rPr>
                <w:rtl w:val="0"/>
              </w:rPr>
              <w:t xml:space="preserve">Research Infrastructure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E">
            <w:pPr>
              <w:tabs>
                <w:tab w:val="right" w:leader="none" w:pos="9060"/>
              </w:tabs>
              <w:spacing w:after="160" w:line="240" w:lineRule="auto"/>
              <w:jc w:val="left"/>
              <w:rPr/>
            </w:pPr>
            <w:r w:rsidDel="00000000" w:rsidR="00000000" w:rsidRPr="00000000">
              <w:rPr>
                <w:rtl w:val="0"/>
              </w:rPr>
              <w:t xml:space="preserve">SME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F">
            <w:pPr>
              <w:tabs>
                <w:tab w:val="right" w:leader="none" w:pos="9060"/>
              </w:tabs>
              <w:spacing w:after="160" w:line="240" w:lineRule="auto"/>
              <w:jc w:val="left"/>
              <w:rPr/>
            </w:pPr>
            <w:r w:rsidDel="00000000" w:rsidR="00000000" w:rsidRPr="00000000">
              <w:rPr>
                <w:rtl w:val="0"/>
              </w:rPr>
              <w:t xml:space="preserve">Small Medium Enterprise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0">
            <w:pPr>
              <w:tabs>
                <w:tab w:val="right" w:leader="none" w:pos="9060"/>
              </w:tabs>
              <w:spacing w:after="160" w:line="240" w:lineRule="auto"/>
              <w:jc w:val="left"/>
              <w:rPr/>
            </w:pPr>
            <w:r w:rsidDel="00000000" w:rsidR="00000000" w:rsidRPr="00000000">
              <w:rPr>
                <w:rtl w:val="0"/>
              </w:rPr>
              <w:t xml:space="preserve">TCB</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1">
            <w:pPr>
              <w:tabs>
                <w:tab w:val="right" w:leader="none" w:pos="9060"/>
              </w:tabs>
              <w:spacing w:after="160" w:line="240" w:lineRule="auto"/>
              <w:jc w:val="left"/>
              <w:rPr/>
            </w:pPr>
            <w:r w:rsidDel="00000000" w:rsidR="00000000" w:rsidRPr="00000000">
              <w:rPr>
                <w:rtl w:val="0"/>
              </w:rPr>
              <w:t xml:space="preserve">Technical Coordination Board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2">
            <w:pPr>
              <w:tabs>
                <w:tab w:val="right" w:leader="none" w:pos="9060"/>
              </w:tabs>
              <w:spacing w:after="160" w:line="240" w:lineRule="auto"/>
              <w:jc w:val="left"/>
              <w:rPr/>
            </w:pPr>
            <w:r w:rsidDel="00000000" w:rsidR="00000000" w:rsidRPr="00000000">
              <w:rPr>
                <w:rtl w:val="0"/>
              </w:rPr>
              <w:t xml:space="preserve">WP</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3">
            <w:pPr>
              <w:tabs>
                <w:tab w:val="right" w:leader="none" w:pos="9060"/>
              </w:tabs>
              <w:spacing w:after="160" w:line="240" w:lineRule="auto"/>
              <w:jc w:val="left"/>
              <w:rPr/>
            </w:pPr>
            <w:r w:rsidDel="00000000" w:rsidR="00000000" w:rsidRPr="00000000">
              <w:rPr>
                <w:rtl w:val="0"/>
              </w:rPr>
              <w:t xml:space="preserve">Work Package</w:t>
            </w:r>
          </w:p>
        </w:tc>
      </w:tr>
    </w:tbl>
    <w:p w:rsidR="00000000" w:rsidDel="00000000" w:rsidP="00000000" w:rsidRDefault="00000000" w:rsidRPr="00000000" w14:paraId="00000124">
      <w:pPr>
        <w:tabs>
          <w:tab w:val="right" w:leader="none" w:pos="9060"/>
        </w:tabs>
        <w:spacing w:after="160" w:line="240" w:lineRule="auto"/>
        <w:ind w:left="0" w:firstLine="0"/>
        <w:jc w:val="left"/>
        <w:rPr/>
      </w:pP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ind w:left="720" w:firstLine="0"/>
      <w:jc w:val="right"/>
      <w:rPr>
        <w:rFonts w:ascii="DM Sans" w:cs="DM Sans" w:eastAsia="DM Sans" w:hAnsi="DM Sans"/>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rPr>
        <w:sz w:val="24"/>
        <w:szCs w:val="24"/>
      </w:rPr>
    </w:pPr>
    <w:r w:rsidDel="00000000" w:rsidR="00000000" w:rsidRPr="00000000">
      <w:rPr>
        <w:rtl w:val="0"/>
      </w:rPr>
    </w:r>
  </w:p>
  <w:tbl>
    <w:tblPr>
      <w:tblStyle w:val="Table5"/>
      <w:tblW w:w="10230.0" w:type="dxa"/>
      <w:jc w:val="left"/>
      <w:tblInd w:w="-585.0" w:type="dxa"/>
      <w:tblLayout w:type="fixed"/>
      <w:tblLook w:val="0600"/>
    </w:tblPr>
    <w:tblGrid>
      <w:gridCol w:w="4020"/>
      <w:gridCol w:w="6210"/>
      <w:tblGridChange w:id="0">
        <w:tblGrid>
          <w:gridCol w:w="4020"/>
          <w:gridCol w:w="6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rPr>
              <w:sz w:val="24"/>
              <w:szCs w:val="24"/>
            </w:rPr>
          </w:pPr>
          <w:r w:rsidDel="00000000" w:rsidR="00000000" w:rsidRPr="00000000">
            <w:rPr>
              <w:sz w:val="24"/>
              <w:szCs w:val="24"/>
            </w:rPr>
            <w:drawing>
              <wp:inline distB="114300" distT="114300" distL="114300" distR="114300">
                <wp:extent cx="1995488" cy="413128"/>
                <wp:effectExtent b="0" l="0" r="0" t="0"/>
                <wp:docPr id="1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1995488" cy="41312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ind w:left="0" w:right="-397.5590551181085" w:firstLine="0"/>
            <w:rPr>
              <w:sz w:val="18"/>
              <w:szCs w:val="18"/>
            </w:rPr>
          </w:pPr>
          <w:r w:rsidDel="00000000" w:rsidR="00000000" w:rsidRPr="00000000">
            <w:rPr>
              <w:sz w:val="18"/>
              <w:szCs w:val="18"/>
              <w:rtl w:val="0"/>
            </w:rPr>
            <w:t xml:space="preserve">iMagine receives funding from the European Union’s Horizon Europe research and innovation programme under grant agreement No. 101058625.</w:t>
          </w:r>
        </w:p>
        <w:p w:rsidR="00000000" w:rsidDel="00000000" w:rsidP="00000000" w:rsidRDefault="00000000" w:rsidRPr="00000000" w14:paraId="00000161">
          <w:pPr>
            <w:ind w:left="0" w:right="-114.09448818897602" w:firstLine="0"/>
            <w:rPr/>
          </w:pPr>
          <w:r w:rsidDel="00000000" w:rsidR="00000000" w:rsidRPr="00000000">
            <w:rPr>
              <w:sz w:val="18"/>
              <w:szCs w:val="18"/>
              <w:rtl w:val="0"/>
            </w:rPr>
            <w:t xml:space="preserve">Views and opinions expressed are however those of the author(s) only and do not necessarily reflect those of the European Union, which cannot be held responsible for them.</w:t>
          </w:r>
          <w:r w:rsidDel="00000000" w:rsidR="00000000" w:rsidRPr="00000000">
            <w:rPr>
              <w:rtl w:val="0"/>
            </w:rPr>
          </w:r>
        </w:p>
      </w:tc>
    </w:tr>
  </w:tbl>
  <w:p w:rsidR="00000000" w:rsidDel="00000000" w:rsidP="00000000" w:rsidRDefault="00000000" w:rsidRPr="00000000" w14:paraId="00000162">
    <w:pPr>
      <w:rPr>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5">
      <w:pPr>
        <w:spacing w:line="240" w:lineRule="auto"/>
        <w:ind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https://open-science-cloud.ec.europa.eu/</w:t>
        </w:r>
      </w:hyperlink>
      <w:r w:rsidDel="00000000" w:rsidR="00000000" w:rsidRPr="00000000">
        <w:rPr>
          <w:sz w:val="20"/>
          <w:szCs w:val="20"/>
          <w:rtl w:val="0"/>
        </w:rPr>
        <w:t xml:space="preserve"> </w:t>
      </w:r>
    </w:p>
  </w:footnote>
  <w:footnote w:id="1">
    <w:p w:rsidR="00000000" w:rsidDel="00000000" w:rsidP="00000000" w:rsidRDefault="00000000" w:rsidRPr="00000000" w14:paraId="00000126">
      <w:pPr>
        <w:spacing w:line="240" w:lineRule="auto"/>
        <w:ind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https://aiod.eu/</w:t>
        </w:r>
      </w:hyperlink>
      <w:r w:rsidDel="00000000" w:rsidR="00000000" w:rsidRPr="00000000">
        <w:rPr>
          <w:sz w:val="20"/>
          <w:szCs w:val="20"/>
          <w:rtl w:val="0"/>
        </w:rPr>
        <w:t xml:space="preserve"> </w:t>
      </w:r>
    </w:p>
  </w:footnote>
  <w:footnote w:id="3">
    <w:p w:rsidR="00000000" w:rsidDel="00000000" w:rsidP="00000000" w:rsidRDefault="00000000" w:rsidRPr="00000000" w14:paraId="000001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https://eosc.eu/eosc-federation-handbook/</w:t>
        </w:r>
      </w:hyperlink>
      <w:r w:rsidDel="00000000" w:rsidR="00000000" w:rsidRPr="00000000">
        <w:rPr>
          <w:rtl w:val="0"/>
        </w:rPr>
      </w:r>
    </w:p>
  </w:footnote>
  <w:footnote w:id="5">
    <w:p w:rsidR="00000000" w:rsidDel="00000000" w:rsidP="00000000" w:rsidRDefault="00000000" w:rsidRPr="00000000" w14:paraId="000001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https://ai4europe.aiod.eu/</w:t>
        </w:r>
      </w:hyperlink>
      <w:r w:rsidDel="00000000" w:rsidR="00000000" w:rsidRPr="00000000">
        <w:rPr>
          <w:rtl w:val="0"/>
        </w:rPr>
      </w:r>
    </w:p>
  </w:footnote>
  <w:footnote w:id="6">
    <w:p w:rsidR="00000000" w:rsidDel="00000000" w:rsidP="00000000" w:rsidRDefault="00000000" w:rsidRPr="00000000" w14:paraId="000001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https://deployaiproject.eu/</w:t>
        </w:r>
      </w:hyperlink>
      <w:r w:rsidDel="00000000" w:rsidR="00000000" w:rsidRPr="00000000">
        <w:rPr>
          <w:rtl w:val="0"/>
        </w:rPr>
      </w:r>
    </w:p>
  </w:footnote>
  <w:footnote w:id="9">
    <w:p w:rsidR="00000000" w:rsidDel="00000000" w:rsidP="00000000" w:rsidRDefault="00000000" w:rsidRPr="00000000" w14:paraId="0000012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https://ted.europa.eu/en/notice/-/detail/712679-2023</w:t>
        </w:r>
      </w:hyperlink>
      <w:r w:rsidDel="00000000" w:rsidR="00000000" w:rsidRPr="00000000">
        <w:rPr>
          <w:rtl w:val="0"/>
        </w:rPr>
      </w:r>
    </w:p>
  </w:footnote>
  <w:footnote w:id="10">
    <w:p w:rsidR="00000000" w:rsidDel="00000000" w:rsidP="00000000" w:rsidRDefault="00000000" w:rsidRPr="00000000" w14:paraId="0000012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https://eosc.eu/eosc-federation-handbook/</w:t>
        </w:r>
      </w:hyperlink>
      <w:r w:rsidDel="00000000" w:rsidR="00000000" w:rsidRPr="00000000">
        <w:rPr>
          <w:rtl w:val="0"/>
        </w:rPr>
      </w:r>
    </w:p>
  </w:footnote>
  <w:footnote w:id="14">
    <w:p w:rsidR="00000000" w:rsidDel="00000000" w:rsidP="00000000" w:rsidRDefault="00000000" w:rsidRPr="00000000" w14:paraId="0000012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https://open-science-cloud.ec.europa.eu/resources/all</w:t>
        </w:r>
      </w:hyperlink>
      <w:r w:rsidDel="00000000" w:rsidR="00000000" w:rsidRPr="00000000">
        <w:rPr>
          <w:rtl w:val="0"/>
        </w:rPr>
      </w:r>
    </w:p>
  </w:footnote>
  <w:footnote w:id="16">
    <w:p w:rsidR="00000000" w:rsidDel="00000000" w:rsidP="00000000" w:rsidRDefault="00000000" w:rsidRPr="00000000" w14:paraId="000001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https://zenodo.org/records/7760413</w:t>
        </w:r>
      </w:hyperlink>
      <w:r w:rsidDel="00000000" w:rsidR="00000000" w:rsidRPr="00000000">
        <w:rPr>
          <w:sz w:val="20"/>
          <w:szCs w:val="20"/>
          <w:rtl w:val="0"/>
        </w:rPr>
        <w:t xml:space="preserve"> </w:t>
      </w:r>
    </w:p>
  </w:footnote>
  <w:footnote w:id="4">
    <w:p w:rsidR="00000000" w:rsidDel="00000000" w:rsidP="00000000" w:rsidRDefault="00000000" w:rsidRPr="00000000" w14:paraId="0000012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https://www.blue-cloud.org/</w:t>
        </w:r>
      </w:hyperlink>
      <w:r w:rsidDel="00000000" w:rsidR="00000000" w:rsidRPr="00000000">
        <w:rPr>
          <w:rtl w:val="0"/>
        </w:rPr>
      </w:r>
    </w:p>
  </w:footnote>
  <w:footnote w:id="17">
    <w:p w:rsidR="00000000" w:rsidDel="00000000" w:rsidP="00000000" w:rsidRDefault="00000000" w:rsidRPr="00000000" w14:paraId="000001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https://www.eosc-beyond.eu/</w:t>
        </w:r>
      </w:hyperlink>
      <w:r w:rsidDel="00000000" w:rsidR="00000000" w:rsidRPr="00000000">
        <w:rPr>
          <w:rtl w:val="0"/>
        </w:rPr>
      </w:r>
    </w:p>
  </w:footnote>
  <w:footnote w:id="18">
    <w:p w:rsidR="00000000" w:rsidDel="00000000" w:rsidP="00000000" w:rsidRDefault="00000000" w:rsidRPr="00000000" w14:paraId="000001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https://www.lifewatch.eu/</w:t>
        </w:r>
      </w:hyperlink>
      <w:r w:rsidDel="00000000" w:rsidR="00000000" w:rsidRPr="00000000">
        <w:rPr>
          <w:rtl w:val="0"/>
        </w:rPr>
      </w:r>
    </w:p>
  </w:footnote>
  <w:footnote w:id="19">
    <w:p w:rsidR="00000000" w:rsidDel="00000000" w:rsidP="00000000" w:rsidRDefault="00000000" w:rsidRPr="00000000" w14:paraId="000001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https://eosc.eu/eosc-task-forces/</w:t>
        </w:r>
      </w:hyperlink>
      <w:r w:rsidDel="00000000" w:rsidR="00000000" w:rsidRPr="00000000">
        <w:rPr>
          <w:rtl w:val="0"/>
        </w:rPr>
      </w:r>
    </w:p>
  </w:footnote>
  <w:footnote w:id="12">
    <w:p w:rsidR="00000000" w:rsidDel="00000000" w:rsidP="00000000" w:rsidRDefault="00000000" w:rsidRPr="00000000" w14:paraId="0000013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https://zenodo.org/records/7793950</w:t>
        </w:r>
      </w:hyperlink>
      <w:r w:rsidDel="00000000" w:rsidR="00000000" w:rsidRPr="00000000">
        <w:rPr>
          <w:rtl w:val="0"/>
        </w:rPr>
      </w:r>
    </w:p>
  </w:footnote>
  <w:footnote w:id="20">
    <w:p w:rsidR="00000000" w:rsidDel="00000000" w:rsidP="00000000" w:rsidRDefault="00000000" w:rsidRPr="00000000" w14:paraId="000001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https://cordis.europa.eu/project/id/825619</w:t>
        </w:r>
      </w:hyperlink>
      <w:r w:rsidDel="00000000" w:rsidR="00000000" w:rsidRPr="00000000">
        <w:rPr>
          <w:rtl w:val="0"/>
        </w:rPr>
      </w:r>
    </w:p>
  </w:footnote>
  <w:footnote w:id="21">
    <w:p w:rsidR="00000000" w:rsidDel="00000000" w:rsidP="00000000" w:rsidRDefault="00000000" w:rsidRPr="00000000" w14:paraId="00000134">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rtl w:val="0"/>
        </w:rPr>
        <w:t xml:space="preserve"> </w:t>
      </w:r>
      <w:hyperlink r:id="rId16">
        <w:r w:rsidDel="00000000" w:rsidR="00000000" w:rsidRPr="00000000">
          <w:rPr>
            <w:color w:val="1155cc"/>
            <w:sz w:val="20"/>
            <w:szCs w:val="20"/>
            <w:u w:val="single"/>
            <w:rtl w:val="0"/>
          </w:rPr>
          <w:t xml:space="preserve">https://www.ai4europe.eu/</w:t>
        </w:r>
      </w:hyperlink>
      <w:r w:rsidDel="00000000" w:rsidR="00000000" w:rsidRPr="00000000">
        <w:rPr>
          <w:rtl w:val="0"/>
        </w:rPr>
      </w:r>
    </w:p>
  </w:footnote>
  <w:footnote w:id="22">
    <w:p w:rsidR="00000000" w:rsidDel="00000000" w:rsidP="00000000" w:rsidRDefault="00000000" w:rsidRPr="00000000" w14:paraId="00000135">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7">
        <w:r w:rsidDel="00000000" w:rsidR="00000000" w:rsidRPr="00000000">
          <w:rPr>
            <w:color w:val="1155cc"/>
            <w:sz w:val="20"/>
            <w:szCs w:val="20"/>
            <w:u w:val="single"/>
            <w:rtl w:val="0"/>
          </w:rPr>
          <w:t xml:space="preserve">https://aiexp.ai4europe.eu/</w:t>
        </w:r>
      </w:hyperlink>
      <w:r w:rsidDel="00000000" w:rsidR="00000000" w:rsidRPr="00000000">
        <w:rPr>
          <w:rtl w:val="0"/>
        </w:rPr>
      </w:r>
    </w:p>
  </w:footnote>
  <w:footnote w:id="23">
    <w:p w:rsidR="00000000" w:rsidDel="00000000" w:rsidP="00000000" w:rsidRDefault="00000000" w:rsidRPr="00000000" w14:paraId="0000013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https://ai4europe.aiod.eu/</w:t>
        </w:r>
      </w:hyperlink>
      <w:r w:rsidDel="00000000" w:rsidR="00000000" w:rsidRPr="00000000">
        <w:rPr>
          <w:rtl w:val="0"/>
        </w:rPr>
      </w:r>
    </w:p>
  </w:footnote>
  <w:footnote w:id="24">
    <w:p w:rsidR="00000000" w:rsidDel="00000000" w:rsidP="00000000" w:rsidRDefault="00000000" w:rsidRPr="00000000" w14:paraId="0000013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9">
        <w:r w:rsidDel="00000000" w:rsidR="00000000" w:rsidRPr="00000000">
          <w:rPr>
            <w:color w:val="1155cc"/>
            <w:sz w:val="20"/>
            <w:szCs w:val="20"/>
            <w:u w:val="single"/>
            <w:rtl w:val="0"/>
          </w:rPr>
          <w:t xml:space="preserve">https://www.ai4europe.eu/ai-community/projects/ai4europe</w:t>
        </w:r>
      </w:hyperlink>
      <w:r w:rsidDel="00000000" w:rsidR="00000000" w:rsidRPr="00000000">
        <w:rPr>
          <w:rtl w:val="0"/>
        </w:rPr>
      </w:r>
    </w:p>
  </w:footnote>
  <w:footnote w:id="25">
    <w:p w:rsidR="00000000" w:rsidDel="00000000" w:rsidP="00000000" w:rsidRDefault="00000000" w:rsidRPr="00000000" w14:paraId="0000013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0">
        <w:r w:rsidDel="00000000" w:rsidR="00000000" w:rsidRPr="00000000">
          <w:rPr>
            <w:color w:val="1155cc"/>
            <w:sz w:val="20"/>
            <w:szCs w:val="20"/>
            <w:u w:val="single"/>
            <w:rtl w:val="0"/>
          </w:rPr>
          <w:t xml:space="preserve">https://api.aiod.eu/docs</w:t>
        </w:r>
      </w:hyperlink>
      <w:r w:rsidDel="00000000" w:rsidR="00000000" w:rsidRPr="00000000">
        <w:rPr>
          <w:rtl w:val="0"/>
        </w:rPr>
      </w:r>
    </w:p>
  </w:footnote>
  <w:footnote w:id="26">
    <w:p w:rsidR="00000000" w:rsidDel="00000000" w:rsidP="00000000" w:rsidRDefault="00000000" w:rsidRPr="00000000" w14:paraId="0000013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1">
        <w:r w:rsidDel="00000000" w:rsidR="00000000" w:rsidRPr="00000000">
          <w:rPr>
            <w:color w:val="1155cc"/>
            <w:sz w:val="20"/>
            <w:szCs w:val="20"/>
            <w:u w:val="single"/>
            <w:rtl w:val="0"/>
          </w:rPr>
          <w:t xml:space="preserve">https://aiondemand.readthedocs.io/</w:t>
        </w:r>
      </w:hyperlink>
      <w:r w:rsidDel="00000000" w:rsidR="00000000" w:rsidRPr="00000000">
        <w:rPr>
          <w:rtl w:val="0"/>
        </w:rPr>
      </w:r>
    </w:p>
  </w:footnote>
  <w:footnote w:id="27">
    <w:p w:rsidR="00000000" w:rsidDel="00000000" w:rsidP="00000000" w:rsidRDefault="00000000" w:rsidRPr="00000000" w14:paraId="0000013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2">
        <w:r w:rsidDel="00000000" w:rsidR="00000000" w:rsidRPr="00000000">
          <w:rPr>
            <w:color w:val="1155cc"/>
            <w:sz w:val="20"/>
            <w:szCs w:val="20"/>
            <w:u w:val="single"/>
            <w:rtl w:val="0"/>
          </w:rPr>
          <w:t xml:space="preserve">https://gitlab.eclipse.org/eclipse/graphene</w:t>
        </w:r>
      </w:hyperlink>
      <w:r w:rsidDel="00000000" w:rsidR="00000000" w:rsidRPr="00000000">
        <w:rPr>
          <w:rtl w:val="0"/>
        </w:rPr>
      </w:r>
    </w:p>
  </w:footnote>
  <w:footnote w:id="28">
    <w:p w:rsidR="00000000" w:rsidDel="00000000" w:rsidP="00000000" w:rsidRDefault="00000000" w:rsidRPr="00000000" w14:paraId="0000013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3">
        <w:r w:rsidDel="00000000" w:rsidR="00000000" w:rsidRPr="00000000">
          <w:rPr>
            <w:color w:val="1155cc"/>
            <w:sz w:val="20"/>
            <w:szCs w:val="20"/>
            <w:u w:val="single"/>
            <w:rtl w:val="0"/>
          </w:rPr>
          <w:t xml:space="preserve">ai4europe.eu/ai-community/projects/imagine</w:t>
        </w:r>
      </w:hyperlink>
      <w:r w:rsidDel="00000000" w:rsidR="00000000" w:rsidRPr="00000000">
        <w:rPr>
          <w:rtl w:val="0"/>
        </w:rPr>
      </w:r>
    </w:p>
  </w:footnote>
  <w:footnote w:id="30">
    <w:p w:rsidR="00000000" w:rsidDel="00000000" w:rsidP="00000000" w:rsidRDefault="00000000" w:rsidRPr="00000000" w14:paraId="0000013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4">
        <w:r w:rsidDel="00000000" w:rsidR="00000000" w:rsidRPr="00000000">
          <w:rPr>
            <w:color w:val="1155cc"/>
            <w:sz w:val="20"/>
            <w:szCs w:val="20"/>
            <w:u w:val="single"/>
            <w:rtl w:val="0"/>
          </w:rPr>
          <w:t xml:space="preserve">ai4europe.eu/business-and-industry/case-studies/zooprocess</w:t>
        </w:r>
      </w:hyperlink>
      <w:r w:rsidDel="00000000" w:rsidR="00000000" w:rsidRPr="00000000">
        <w:rPr>
          <w:rtl w:val="0"/>
        </w:rPr>
      </w:r>
    </w:p>
  </w:footnote>
  <w:footnote w:id="31">
    <w:p w:rsidR="00000000" w:rsidDel="00000000" w:rsidP="00000000" w:rsidRDefault="00000000" w:rsidRPr="00000000" w14:paraId="0000013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5">
        <w:r w:rsidDel="00000000" w:rsidR="00000000" w:rsidRPr="00000000">
          <w:rPr>
            <w:color w:val="1155cc"/>
            <w:sz w:val="20"/>
            <w:szCs w:val="20"/>
            <w:u w:val="single"/>
            <w:rtl w:val="0"/>
          </w:rPr>
          <w:t xml:space="preserve">ai4europe.eu/business-and-industry/case-studies/underwater-noise-identification</w:t>
        </w:r>
      </w:hyperlink>
      <w:r w:rsidDel="00000000" w:rsidR="00000000" w:rsidRPr="00000000">
        <w:rPr>
          <w:rtl w:val="0"/>
        </w:rPr>
      </w:r>
    </w:p>
  </w:footnote>
  <w:footnote w:id="32">
    <w:p w:rsidR="00000000" w:rsidDel="00000000" w:rsidP="00000000" w:rsidRDefault="00000000" w:rsidRPr="00000000" w14:paraId="0000013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6">
        <w:r w:rsidDel="00000000" w:rsidR="00000000" w:rsidRPr="00000000">
          <w:rPr>
            <w:color w:val="1155cc"/>
            <w:sz w:val="20"/>
            <w:szCs w:val="20"/>
            <w:u w:val="single"/>
            <w:rtl w:val="0"/>
          </w:rPr>
          <w:t xml:space="preserve">ai4europe.eu/business-and-industry/case-studies/satellite-derived-bathymetry</w:t>
        </w:r>
      </w:hyperlink>
      <w:r w:rsidDel="00000000" w:rsidR="00000000" w:rsidRPr="00000000">
        <w:rPr>
          <w:rtl w:val="0"/>
        </w:rPr>
      </w:r>
    </w:p>
  </w:footnote>
  <w:footnote w:id="33">
    <w:p w:rsidR="00000000" w:rsidDel="00000000" w:rsidP="00000000" w:rsidRDefault="00000000" w:rsidRPr="00000000" w14:paraId="0000013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7">
        <w:r w:rsidDel="00000000" w:rsidR="00000000" w:rsidRPr="00000000">
          <w:rPr>
            <w:color w:val="1155cc"/>
            <w:sz w:val="20"/>
            <w:szCs w:val="20"/>
            <w:u w:val="single"/>
            <w:rtl w:val="0"/>
          </w:rPr>
          <w:t xml:space="preserve">ai4europe.eu/business-and-industry/case-studies/oil-spill-detection</w:t>
        </w:r>
      </w:hyperlink>
      <w:r w:rsidDel="00000000" w:rsidR="00000000" w:rsidRPr="00000000">
        <w:rPr>
          <w:rtl w:val="0"/>
        </w:rPr>
      </w:r>
    </w:p>
  </w:footnote>
  <w:footnote w:id="34">
    <w:p w:rsidR="00000000" w:rsidDel="00000000" w:rsidP="00000000" w:rsidRDefault="00000000" w:rsidRPr="00000000" w14:paraId="0000014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8">
        <w:r w:rsidDel="00000000" w:rsidR="00000000" w:rsidRPr="00000000">
          <w:rPr>
            <w:color w:val="1155cc"/>
            <w:sz w:val="20"/>
            <w:szCs w:val="20"/>
            <w:u w:val="single"/>
            <w:rtl w:val="0"/>
          </w:rPr>
          <w:t xml:space="preserve">ai4europe.eu/business-and-industry/case-studies/freshwater-diatoms-identification</w:t>
        </w:r>
      </w:hyperlink>
      <w:r w:rsidDel="00000000" w:rsidR="00000000" w:rsidRPr="00000000">
        <w:rPr>
          <w:rtl w:val="0"/>
        </w:rPr>
      </w:r>
    </w:p>
  </w:footnote>
  <w:footnote w:id="35">
    <w:p w:rsidR="00000000" w:rsidDel="00000000" w:rsidP="00000000" w:rsidRDefault="00000000" w:rsidRPr="00000000" w14:paraId="0000014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9">
        <w:r w:rsidDel="00000000" w:rsidR="00000000" w:rsidRPr="00000000">
          <w:rPr>
            <w:color w:val="1155cc"/>
            <w:sz w:val="20"/>
            <w:szCs w:val="20"/>
            <w:u w:val="single"/>
            <w:rtl w:val="0"/>
          </w:rPr>
          <w:t xml:space="preserve">ai4europe.eu/business-and-industry/case-studies/flowcam-phytoplankton-identification</w:t>
        </w:r>
      </w:hyperlink>
      <w:r w:rsidDel="00000000" w:rsidR="00000000" w:rsidRPr="00000000">
        <w:rPr>
          <w:rtl w:val="0"/>
        </w:rPr>
      </w:r>
    </w:p>
  </w:footnote>
  <w:footnote w:id="36">
    <w:p w:rsidR="00000000" w:rsidDel="00000000" w:rsidP="00000000" w:rsidRDefault="00000000" w:rsidRPr="00000000" w14:paraId="0000014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0">
        <w:r w:rsidDel="00000000" w:rsidR="00000000" w:rsidRPr="00000000">
          <w:rPr>
            <w:color w:val="1155cc"/>
            <w:sz w:val="20"/>
            <w:szCs w:val="20"/>
            <w:u w:val="single"/>
            <w:rtl w:val="0"/>
          </w:rPr>
          <w:t xml:space="preserve">ai4europe.eu/business-and-industry/case-studies/eyeonwater</w:t>
        </w:r>
      </w:hyperlink>
      <w:r w:rsidDel="00000000" w:rsidR="00000000" w:rsidRPr="00000000">
        <w:rPr>
          <w:rtl w:val="0"/>
        </w:rPr>
      </w:r>
    </w:p>
  </w:footnote>
  <w:footnote w:id="37">
    <w:p w:rsidR="00000000" w:rsidDel="00000000" w:rsidP="00000000" w:rsidRDefault="00000000" w:rsidRPr="00000000" w14:paraId="0000014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1">
        <w:r w:rsidDel="00000000" w:rsidR="00000000" w:rsidRPr="00000000">
          <w:rPr>
            <w:color w:val="1155cc"/>
            <w:sz w:val="20"/>
            <w:szCs w:val="20"/>
            <w:u w:val="single"/>
            <w:rtl w:val="0"/>
          </w:rPr>
          <w:t xml:space="preserve">ai4europe.eu/business-and-industry/case-studies/fish-otoliths</w:t>
        </w:r>
      </w:hyperlink>
      <w:r w:rsidDel="00000000" w:rsidR="00000000" w:rsidRPr="00000000">
        <w:rPr>
          <w:rtl w:val="0"/>
        </w:rPr>
      </w:r>
    </w:p>
  </w:footnote>
  <w:footnote w:id="38">
    <w:p w:rsidR="00000000" w:rsidDel="00000000" w:rsidP="00000000" w:rsidRDefault="00000000" w:rsidRPr="00000000" w14:paraId="0000014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2">
        <w:r w:rsidDel="00000000" w:rsidR="00000000" w:rsidRPr="00000000">
          <w:rPr>
            <w:color w:val="1155cc"/>
            <w:sz w:val="20"/>
            <w:szCs w:val="20"/>
            <w:u w:val="single"/>
            <w:rtl w:val="0"/>
          </w:rPr>
          <w:t xml:space="preserve">ai4europe.eu/business-and-industry/case-studies/ecosystem-monitoring-emso-sites-video-imagery</w:t>
        </w:r>
      </w:hyperlink>
      <w:r w:rsidDel="00000000" w:rsidR="00000000" w:rsidRPr="00000000">
        <w:rPr>
          <w:rtl w:val="0"/>
        </w:rPr>
      </w:r>
    </w:p>
  </w:footnote>
  <w:footnote w:id="39">
    <w:p w:rsidR="00000000" w:rsidDel="00000000" w:rsidP="00000000" w:rsidRDefault="00000000" w:rsidRPr="00000000" w14:paraId="0000014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3">
        <w:r w:rsidDel="00000000" w:rsidR="00000000" w:rsidRPr="00000000">
          <w:rPr>
            <w:color w:val="1155cc"/>
            <w:sz w:val="20"/>
            <w:szCs w:val="20"/>
            <w:u w:val="single"/>
            <w:rtl w:val="0"/>
          </w:rPr>
          <w:t xml:space="preserve">ai4europe.eu/business-and-industry/case-studies/cold-water-coral-reefs</w:t>
        </w:r>
      </w:hyperlink>
      <w:r w:rsidDel="00000000" w:rsidR="00000000" w:rsidRPr="00000000">
        <w:rPr>
          <w:rtl w:val="0"/>
        </w:rPr>
      </w:r>
    </w:p>
  </w:footnote>
  <w:footnote w:id="40">
    <w:p w:rsidR="00000000" w:rsidDel="00000000" w:rsidP="00000000" w:rsidRDefault="00000000" w:rsidRPr="00000000" w14:paraId="0000014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4">
        <w:r w:rsidDel="00000000" w:rsidR="00000000" w:rsidRPr="00000000">
          <w:rPr>
            <w:color w:val="1155cc"/>
            <w:sz w:val="20"/>
            <w:szCs w:val="20"/>
            <w:u w:val="single"/>
            <w:rtl w:val="0"/>
          </w:rPr>
          <w:t xml:space="preserve">ai4europe.eu/business-and-industry/case-studies/beach-monitoring</w:t>
        </w:r>
      </w:hyperlink>
      <w:r w:rsidDel="00000000" w:rsidR="00000000" w:rsidRPr="00000000">
        <w:rPr>
          <w:rtl w:val="0"/>
        </w:rPr>
      </w:r>
    </w:p>
  </w:footnote>
  <w:footnote w:id="41">
    <w:p w:rsidR="00000000" w:rsidDel="00000000" w:rsidP="00000000" w:rsidRDefault="00000000" w:rsidRPr="00000000" w14:paraId="0000014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5">
        <w:r w:rsidDel="00000000" w:rsidR="00000000" w:rsidRPr="00000000">
          <w:rPr>
            <w:color w:val="1155cc"/>
            <w:sz w:val="20"/>
            <w:szCs w:val="20"/>
            <w:u w:val="single"/>
            <w:rtl w:val="0"/>
          </w:rPr>
          <w:t xml:space="preserve">ai4europe.eu/business-and-industry/case-studies/aquatic-litter-drones</w:t>
        </w:r>
      </w:hyperlink>
      <w:r w:rsidDel="00000000" w:rsidR="00000000" w:rsidRPr="00000000">
        <w:rPr>
          <w:rtl w:val="0"/>
        </w:rPr>
      </w:r>
    </w:p>
  </w:footnote>
  <w:footnote w:id="43">
    <w:p w:rsidR="00000000" w:rsidDel="00000000" w:rsidP="00000000" w:rsidRDefault="00000000" w:rsidRPr="00000000" w14:paraId="0000014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6">
        <w:r w:rsidDel="00000000" w:rsidR="00000000" w:rsidRPr="00000000">
          <w:rPr>
            <w:color w:val="1155cc"/>
            <w:sz w:val="20"/>
            <w:szCs w:val="20"/>
            <w:u w:val="single"/>
            <w:rtl w:val="0"/>
          </w:rPr>
          <w:t xml:space="preserve">ai4europe.eu/research/ai-catalog/zooprocess-multiple-separator</w:t>
        </w:r>
      </w:hyperlink>
      <w:r w:rsidDel="00000000" w:rsidR="00000000" w:rsidRPr="00000000">
        <w:rPr>
          <w:rtl w:val="0"/>
        </w:rPr>
      </w:r>
    </w:p>
  </w:footnote>
  <w:footnote w:id="44">
    <w:p w:rsidR="00000000" w:rsidDel="00000000" w:rsidP="00000000" w:rsidRDefault="00000000" w:rsidRPr="00000000" w14:paraId="0000014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7">
        <w:r w:rsidDel="00000000" w:rsidR="00000000" w:rsidRPr="00000000">
          <w:rPr>
            <w:color w:val="1155cc"/>
            <w:sz w:val="20"/>
            <w:szCs w:val="20"/>
            <w:u w:val="single"/>
            <w:rtl w:val="0"/>
          </w:rPr>
          <w:t xml:space="preserve">ai4europe.eu/research/ai-catalog/zooprocess-multiple-classifier</w:t>
        </w:r>
      </w:hyperlink>
      <w:r w:rsidDel="00000000" w:rsidR="00000000" w:rsidRPr="00000000">
        <w:rPr>
          <w:rtl w:val="0"/>
        </w:rPr>
      </w:r>
    </w:p>
  </w:footnote>
  <w:footnote w:id="45">
    <w:p w:rsidR="00000000" w:rsidDel="00000000" w:rsidP="00000000" w:rsidRDefault="00000000" w:rsidRPr="00000000" w14:paraId="0000014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8">
        <w:r w:rsidDel="00000000" w:rsidR="00000000" w:rsidRPr="00000000">
          <w:rPr>
            <w:color w:val="1155cc"/>
            <w:sz w:val="20"/>
            <w:szCs w:val="20"/>
            <w:u w:val="single"/>
            <w:rtl w:val="0"/>
          </w:rPr>
          <w:t xml:space="preserve">ai4europe.eu/research/ai-catalog/smartbay-prawn-burrow-detection</w:t>
        </w:r>
      </w:hyperlink>
      <w:r w:rsidDel="00000000" w:rsidR="00000000" w:rsidRPr="00000000">
        <w:rPr>
          <w:rtl w:val="0"/>
        </w:rPr>
      </w:r>
    </w:p>
  </w:footnote>
  <w:footnote w:id="46">
    <w:p w:rsidR="00000000" w:rsidDel="00000000" w:rsidP="00000000" w:rsidRDefault="00000000" w:rsidRPr="00000000" w14:paraId="0000014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9">
        <w:r w:rsidDel="00000000" w:rsidR="00000000" w:rsidRPr="00000000">
          <w:rPr>
            <w:color w:val="1155cc"/>
            <w:sz w:val="20"/>
            <w:szCs w:val="20"/>
            <w:u w:val="single"/>
            <w:rtl w:val="0"/>
          </w:rPr>
          <w:t xml:space="preserve">ai4europe.eu/research/ai-catalog/deep-species-detection</w:t>
        </w:r>
      </w:hyperlink>
      <w:r w:rsidDel="00000000" w:rsidR="00000000" w:rsidRPr="00000000">
        <w:rPr>
          <w:rtl w:val="0"/>
        </w:rPr>
      </w:r>
    </w:p>
  </w:footnote>
  <w:footnote w:id="47">
    <w:p w:rsidR="00000000" w:rsidDel="00000000" w:rsidP="00000000" w:rsidRDefault="00000000" w:rsidRPr="00000000" w14:paraId="0000014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0">
        <w:r w:rsidDel="00000000" w:rsidR="00000000" w:rsidRPr="00000000">
          <w:rPr>
            <w:color w:val="1155cc"/>
            <w:sz w:val="20"/>
            <w:szCs w:val="20"/>
            <w:u w:val="single"/>
            <w:rtl w:val="0"/>
          </w:rPr>
          <w:t xml:space="preserve">ai4europe.eu/research/ai-catalog/smartbay-species-detection</w:t>
        </w:r>
      </w:hyperlink>
      <w:r w:rsidDel="00000000" w:rsidR="00000000" w:rsidRPr="00000000">
        <w:rPr>
          <w:rtl w:val="0"/>
        </w:rPr>
      </w:r>
    </w:p>
  </w:footnote>
  <w:footnote w:id="50">
    <w:p w:rsidR="00000000" w:rsidDel="00000000" w:rsidP="00000000" w:rsidRDefault="00000000" w:rsidRPr="00000000" w14:paraId="0000014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1">
        <w:r w:rsidDel="00000000" w:rsidR="00000000" w:rsidRPr="00000000">
          <w:rPr>
            <w:color w:val="1155cc"/>
            <w:sz w:val="20"/>
            <w:szCs w:val="20"/>
            <w:u w:val="single"/>
            <w:rtl w:val="0"/>
          </w:rPr>
          <w:t xml:space="preserve">ai4europe.eu/business-and-industry/open-calls/imagine-open-call-use-cases</w:t>
        </w:r>
      </w:hyperlink>
      <w:r w:rsidDel="00000000" w:rsidR="00000000" w:rsidRPr="00000000">
        <w:rPr>
          <w:rtl w:val="0"/>
        </w:rPr>
      </w:r>
    </w:p>
  </w:footnote>
  <w:footnote w:id="51">
    <w:p w:rsidR="00000000" w:rsidDel="00000000" w:rsidP="00000000" w:rsidRDefault="00000000" w:rsidRPr="00000000" w14:paraId="0000014E">
      <w:pPr>
        <w:spacing w:line="240" w:lineRule="auto"/>
        <w:ind w:left="0" w:firstLine="36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2">
        <w:r w:rsidDel="00000000" w:rsidR="00000000" w:rsidRPr="00000000">
          <w:rPr>
            <w:color w:val="1155cc"/>
            <w:sz w:val="20"/>
            <w:szCs w:val="20"/>
            <w:u w:val="single"/>
            <w:rtl w:val="0"/>
          </w:rPr>
          <w:t xml:space="preserve">ai4europe.eu/education/education-catalog/best-practices-and-guidelines-developers-and-providers-ai-based-image</w:t>
        </w:r>
      </w:hyperlink>
      <w:r w:rsidDel="00000000" w:rsidR="00000000" w:rsidRPr="00000000">
        <w:rPr>
          <w:rtl w:val="0"/>
        </w:rPr>
      </w:r>
    </w:p>
  </w:footnote>
  <w:footnote w:id="52">
    <w:p w:rsidR="00000000" w:rsidDel="00000000" w:rsidP="00000000" w:rsidRDefault="00000000" w:rsidRPr="00000000" w14:paraId="0000014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3">
        <w:r w:rsidDel="00000000" w:rsidR="00000000" w:rsidRPr="00000000">
          <w:rPr>
            <w:color w:val="1155cc"/>
            <w:sz w:val="20"/>
            <w:szCs w:val="20"/>
            <w:u w:val="single"/>
            <w:rtl w:val="0"/>
          </w:rPr>
          <w:t xml:space="preserve">ai4europe.eu/education/education-catalog/best-practices-producers-and-providers-image-sets-and-image-analysis</w:t>
        </w:r>
      </w:hyperlink>
      <w:r w:rsidDel="00000000" w:rsidR="00000000" w:rsidRPr="00000000">
        <w:rPr>
          <w:rtl w:val="0"/>
        </w:rPr>
      </w:r>
    </w:p>
  </w:footnote>
  <w:footnote w:id="48">
    <w:p w:rsidR="00000000" w:rsidDel="00000000" w:rsidP="00000000" w:rsidRDefault="00000000" w:rsidRPr="00000000" w14:paraId="000001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4">
        <w:r w:rsidDel="00000000" w:rsidR="00000000" w:rsidRPr="00000000">
          <w:rPr>
            <w:color w:val="1155cc"/>
            <w:sz w:val="20"/>
            <w:szCs w:val="20"/>
            <w:u w:val="single"/>
            <w:rtl w:val="0"/>
          </w:rPr>
          <w:t xml:space="preserve">ai4europe.eu/research/ai-catalog/real-time-fish-detection-emso-obsea</w:t>
        </w:r>
      </w:hyperlink>
      <w:r w:rsidDel="00000000" w:rsidR="00000000" w:rsidRPr="00000000">
        <w:rPr>
          <w:rtl w:val="0"/>
        </w:rPr>
      </w:r>
    </w:p>
  </w:footnote>
  <w:footnote w:id="42">
    <w:p w:rsidR="00000000" w:rsidDel="00000000" w:rsidP="00000000" w:rsidRDefault="00000000" w:rsidRPr="00000000" w14:paraId="0000015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5">
        <w:r w:rsidDel="00000000" w:rsidR="00000000" w:rsidRPr="00000000">
          <w:rPr>
            <w:color w:val="1155cc"/>
            <w:sz w:val="20"/>
            <w:szCs w:val="20"/>
            <w:u w:val="single"/>
            <w:rtl w:val="0"/>
          </w:rPr>
          <w:t xml:space="preserve">ai4europe.eu/research/ai-catalog/litter-assessment-service</w:t>
        </w:r>
      </w:hyperlink>
      <w:r w:rsidDel="00000000" w:rsidR="00000000" w:rsidRPr="00000000">
        <w:rPr>
          <w:sz w:val="20"/>
          <w:szCs w:val="20"/>
          <w:rtl w:val="0"/>
        </w:rPr>
        <w:t xml:space="preserve"> </w:t>
      </w:r>
    </w:p>
  </w:footnote>
  <w:footnote w:id="49">
    <w:p w:rsidR="00000000" w:rsidDel="00000000" w:rsidP="00000000" w:rsidRDefault="00000000" w:rsidRPr="00000000" w14:paraId="0000015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6">
        <w:r w:rsidDel="00000000" w:rsidR="00000000" w:rsidRPr="00000000">
          <w:rPr>
            <w:color w:val="1155cc"/>
            <w:sz w:val="20"/>
            <w:szCs w:val="20"/>
            <w:u w:val="single"/>
            <w:rtl w:val="0"/>
          </w:rPr>
          <w:t xml:space="preserve">ai4europe.eu/research/ai-catalog/witoil-cloud-imagine</w:t>
        </w:r>
      </w:hyperlink>
      <w:r w:rsidDel="00000000" w:rsidR="00000000" w:rsidRPr="00000000">
        <w:rPr>
          <w:rtl w:val="0"/>
        </w:rPr>
      </w:r>
    </w:p>
  </w:footnote>
  <w:footnote w:id="53">
    <w:p w:rsidR="00000000" w:rsidDel="00000000" w:rsidP="00000000" w:rsidRDefault="00000000" w:rsidRPr="00000000" w14:paraId="0000015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7">
        <w:r w:rsidDel="00000000" w:rsidR="00000000" w:rsidRPr="00000000">
          <w:rPr>
            <w:color w:val="1155cc"/>
            <w:sz w:val="20"/>
            <w:szCs w:val="20"/>
            <w:u w:val="single"/>
            <w:rtl w:val="0"/>
          </w:rPr>
          <w:t xml:space="preserve">https://github.com/ai4eu/Technical-Contributors-Board</w:t>
        </w:r>
      </w:hyperlink>
      <w:r w:rsidDel="00000000" w:rsidR="00000000" w:rsidRPr="00000000">
        <w:rPr>
          <w:rtl w:val="0"/>
        </w:rPr>
      </w:r>
    </w:p>
  </w:footnote>
  <w:footnote w:id="29">
    <w:p w:rsidR="00000000" w:rsidDel="00000000" w:rsidP="00000000" w:rsidRDefault="00000000" w:rsidRPr="00000000" w14:paraId="00000154">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hyperlink r:id="rId48">
        <w:r w:rsidDel="00000000" w:rsidR="00000000" w:rsidRPr="00000000">
          <w:rPr>
            <w:color w:val="1155cc"/>
            <w:sz w:val="20"/>
            <w:szCs w:val="20"/>
            <w:u w:val="single"/>
            <w:rtl w:val="0"/>
          </w:rPr>
          <w:t xml:space="preserve">https://www.ai4europe.eu/business-and-industry/case-studies</w:t>
        </w:r>
      </w:hyperlink>
      <w:r w:rsidDel="00000000" w:rsidR="00000000" w:rsidRPr="00000000">
        <w:rPr>
          <w:rtl w:val="0"/>
        </w:rPr>
      </w:r>
    </w:p>
  </w:footnote>
  <w:footnote w:id="7">
    <w:p w:rsidR="00000000" w:rsidDel="00000000" w:rsidP="00000000" w:rsidRDefault="00000000" w:rsidRPr="00000000" w14:paraId="00000155">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hyperlink r:id="rId49">
        <w:r w:rsidDel="00000000" w:rsidR="00000000" w:rsidRPr="00000000">
          <w:rPr>
            <w:color w:val="1155cc"/>
            <w:sz w:val="20"/>
            <w:szCs w:val="20"/>
            <w:u w:val="single"/>
            <w:rtl w:val="0"/>
          </w:rPr>
          <w:t xml:space="preserve">https://www.eosc-beyond.eu/</w:t>
        </w:r>
      </w:hyperlink>
      <w:r w:rsidDel="00000000" w:rsidR="00000000" w:rsidRPr="00000000">
        <w:rPr>
          <w:rtl w:val="0"/>
        </w:rPr>
      </w:r>
    </w:p>
  </w:footnote>
  <w:footnote w:id="8">
    <w:p w:rsidR="00000000" w:rsidDel="00000000" w:rsidP="00000000" w:rsidRDefault="00000000" w:rsidRPr="00000000" w14:paraId="00000156">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hyperlink r:id="rId50">
        <w:r w:rsidDel="00000000" w:rsidR="00000000" w:rsidRPr="00000000">
          <w:rPr>
            <w:color w:val="1155cc"/>
            <w:sz w:val="20"/>
            <w:szCs w:val="20"/>
            <w:u w:val="single"/>
            <w:rtl w:val="0"/>
          </w:rPr>
          <w:t xml:space="preserve">https://eoscfuture.eu/</w:t>
        </w:r>
      </w:hyperlink>
      <w:r w:rsidDel="00000000" w:rsidR="00000000" w:rsidRPr="00000000">
        <w:rPr>
          <w:rtl w:val="0"/>
        </w:rPr>
      </w:r>
    </w:p>
  </w:footnote>
  <w:footnote w:id="11">
    <w:p w:rsidR="00000000" w:rsidDel="00000000" w:rsidP="00000000" w:rsidRDefault="00000000" w:rsidRPr="00000000" w14:paraId="00000157">
      <w:pPr>
        <w:spacing w:line="240" w:lineRule="auto"/>
        <w:rPr>
          <w:sz w:val="20"/>
          <w:szCs w:val="20"/>
        </w:rPr>
      </w:pPr>
      <w:r w:rsidDel="00000000" w:rsidR="00000000" w:rsidRPr="00000000">
        <w:rPr>
          <w:rStyle w:val="FootnoteReference"/>
          <w:vertAlign w:val="superscript"/>
        </w:rPr>
        <w:footnoteRef/>
      </w:r>
      <w:hyperlink r:id="rId51">
        <w:r w:rsidDel="00000000" w:rsidR="00000000" w:rsidRPr="00000000">
          <w:rPr>
            <w:color w:val="1155cc"/>
            <w:sz w:val="20"/>
            <w:szCs w:val="20"/>
            <w:u w:val="single"/>
            <w:rtl w:val="0"/>
          </w:rPr>
          <w:t xml:space="preserve">https://eosc.eu/eosc-about/building-the-eosc-federation/contributing-to-the-build-up-phase-of-the-eosc-federation/</w:t>
        </w:r>
      </w:hyperlink>
      <w:r w:rsidDel="00000000" w:rsidR="00000000" w:rsidRPr="00000000">
        <w:rPr>
          <w:rtl w:val="0"/>
        </w:rPr>
      </w:r>
    </w:p>
  </w:footnote>
  <w:footnote w:id="2">
    <w:p w:rsidR="00000000" w:rsidDel="00000000" w:rsidP="00000000" w:rsidRDefault="00000000" w:rsidRPr="00000000" w14:paraId="00000158">
      <w:pPr>
        <w:spacing w:line="240" w:lineRule="auto"/>
        <w:ind w:left="0" w:firstLine="0"/>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hyperlink r:id="rId52">
        <w:r w:rsidDel="00000000" w:rsidR="00000000" w:rsidRPr="00000000">
          <w:rPr>
            <w:color w:val="1155cc"/>
            <w:sz w:val="20"/>
            <w:szCs w:val="20"/>
            <w:u w:val="single"/>
            <w:rtl w:val="0"/>
          </w:rPr>
          <w:t xml:space="preserve">https://eosc.eu/building-the-eosc-federation/</w:t>
        </w:r>
      </w:hyperlink>
      <w:r w:rsidDel="00000000" w:rsidR="00000000" w:rsidRPr="00000000">
        <w:rPr>
          <w:rtl w:val="0"/>
        </w:rPr>
      </w:r>
    </w:p>
  </w:footnote>
  <w:footnote w:id="13">
    <w:p w:rsidR="00000000" w:rsidDel="00000000" w:rsidP="00000000" w:rsidRDefault="00000000" w:rsidRPr="00000000" w14:paraId="00000159">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hyperlink r:id="rId53">
        <w:r w:rsidDel="00000000" w:rsidR="00000000" w:rsidRPr="00000000">
          <w:rPr>
            <w:color w:val="1155cc"/>
            <w:sz w:val="20"/>
            <w:szCs w:val="20"/>
            <w:u w:val="single"/>
            <w:rtl w:val="0"/>
          </w:rPr>
          <w:t xml:space="preserve">https://zenodo.org/</w:t>
        </w:r>
      </w:hyperlink>
      <w:r w:rsidDel="00000000" w:rsidR="00000000" w:rsidRPr="00000000">
        <w:rPr>
          <w:rtl w:val="0"/>
        </w:rPr>
      </w:r>
    </w:p>
  </w:footnote>
  <w:footnote w:id="15">
    <w:p w:rsidR="00000000" w:rsidDel="00000000" w:rsidP="00000000" w:rsidRDefault="00000000" w:rsidRPr="00000000" w14:paraId="0000015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4">
        <w:r w:rsidDel="00000000" w:rsidR="00000000" w:rsidRPr="00000000">
          <w:rPr>
            <w:color w:val="1155cc"/>
            <w:sz w:val="20"/>
            <w:szCs w:val="20"/>
            <w:u w:val="single"/>
            <w:rtl w:val="0"/>
          </w:rPr>
          <w:t xml:space="preserve">https://open-science-cloud.ec.europa.eu/resources/services/21.11166%252FdMw0K1</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ind w:left="0" w:firstLine="0"/>
      <w:rPr>
        <w:i w:val="1"/>
        <w:sz w:val="20"/>
        <w:szCs w:val="20"/>
      </w:rPr>
    </w:pPr>
    <w:r w:rsidDel="00000000" w:rsidR="00000000" w:rsidRPr="00000000">
      <w:rPr>
        <w:sz w:val="20"/>
        <w:szCs w:val="20"/>
        <w:rtl w:val="0"/>
      </w:rPr>
      <w:t xml:space="preserve">iMagine D2.7 EOSC and ‘AI on Demand’ liaison and integration updated plan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566.9291338582675" w:hanging="359.99999999999994"/>
      </w:pPr>
      <w:rPr>
        <w:u w:val="none"/>
      </w:rPr>
    </w:lvl>
    <w:lvl w:ilvl="1">
      <w:start w:val="1"/>
      <w:numFmt w:val="decimal"/>
      <w:lvlText w:val="%1.%2"/>
      <w:lvlJc w:val="right"/>
      <w:pPr>
        <w:ind w:left="708.6614173228347" w:hanging="360.0000000000001"/>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LOT %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color w:val="666666"/>
        <w:sz w:val="22"/>
        <w:szCs w:val="22"/>
        <w:lang w:val="en_GB"/>
      </w:rPr>
    </w:rPrDefault>
    <w:pPrDefault>
      <w:pPr>
        <w:spacing w:line="276" w:lineRule="auto"/>
        <w:ind w:firstLine="3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firstLine="0"/>
    </w:pPr>
    <w:rPr>
      <w:color w:val="0660aa"/>
      <w:sz w:val="40"/>
      <w:szCs w:val="40"/>
    </w:rPr>
  </w:style>
  <w:style w:type="paragraph" w:styleId="Heading2">
    <w:name w:val="heading 2"/>
    <w:basedOn w:val="Normal"/>
    <w:next w:val="Normal"/>
    <w:pPr>
      <w:keepNext w:val="1"/>
      <w:keepLines w:val="1"/>
      <w:spacing w:after="120" w:before="360" w:lineRule="auto"/>
      <w:ind w:firstLine="0"/>
    </w:pPr>
    <w:rPr>
      <w:color w:val="ef7e15"/>
      <w:sz w:val="32"/>
      <w:szCs w:val="32"/>
    </w:rPr>
  </w:style>
  <w:style w:type="paragraph" w:styleId="Heading3">
    <w:name w:val="heading 3"/>
    <w:basedOn w:val="Normal"/>
    <w:next w:val="Normal"/>
    <w:pPr>
      <w:keepNext w:val="1"/>
      <w:keepLines w:val="1"/>
      <w:spacing w:after="80" w:before="320" w:lineRule="auto"/>
      <w:ind w:firstLine="0"/>
    </w:pPr>
    <w:rPr>
      <w:color w:val="434343"/>
      <w:sz w:val="28"/>
      <w:szCs w:val="28"/>
    </w:rPr>
  </w:style>
  <w:style w:type="paragraph" w:styleId="Heading4">
    <w:name w:val="heading 4"/>
    <w:basedOn w:val="Normal"/>
    <w:next w:val="Normal"/>
    <w:pPr>
      <w:keepNext w:val="1"/>
      <w:keepLines w:val="1"/>
      <w:spacing w:after="80" w:before="280" w:lineRule="auto"/>
    </w:pPr>
    <w:rPr>
      <w:b w:val="1"/>
    </w:rPr>
  </w:style>
  <w:style w:type="paragraph" w:styleId="Heading5">
    <w:name w:val="heading 5"/>
    <w:basedOn w:val="Normal"/>
    <w:next w:val="Normal"/>
    <w:pPr>
      <w:keepNext w:val="1"/>
      <w:keepLines w:val="1"/>
    </w:pPr>
    <w:rPr>
      <w:i w:val="1"/>
      <w:color w:val="000000"/>
    </w:rPr>
  </w:style>
  <w:style w:type="paragraph" w:styleId="Heading6">
    <w:name w:val="heading 6"/>
    <w:basedOn w:val="Normal"/>
    <w:next w:val="Normal"/>
    <w:pPr>
      <w:keepNext w:val="1"/>
      <w:keepLines w:val="1"/>
    </w:pPr>
    <w:rPr>
      <w:rFonts w:ascii="Open Sans" w:cs="Open Sans" w:eastAsia="Open Sans" w:hAnsi="Open Sans"/>
      <w:color w:val="ef7e15"/>
    </w:rPr>
  </w:style>
  <w:style w:type="paragraph" w:styleId="Title">
    <w:name w:val="Title"/>
    <w:basedOn w:val="Normal"/>
    <w:next w:val="Normal"/>
    <w:pPr>
      <w:keepNext w:val="1"/>
      <w:keepLines w:val="1"/>
      <w:spacing w:after="60" w:lineRule="auto"/>
    </w:pPr>
    <w:rPr>
      <w:color w:val="0660aa"/>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firstLine="0"/>
    </w:pPr>
    <w:rPr>
      <w:color w:val="0660aa"/>
      <w:sz w:val="40"/>
      <w:szCs w:val="40"/>
    </w:rPr>
  </w:style>
  <w:style w:type="paragraph" w:styleId="Heading2">
    <w:name w:val="heading 2"/>
    <w:basedOn w:val="Normal"/>
    <w:next w:val="Normal"/>
    <w:pPr>
      <w:keepNext w:val="1"/>
      <w:keepLines w:val="1"/>
      <w:spacing w:after="120" w:before="360" w:lineRule="auto"/>
      <w:ind w:left="708.6614173228347" w:hanging="360"/>
    </w:pPr>
    <w:rPr>
      <w:color w:val="ef7e15"/>
      <w:sz w:val="32"/>
      <w:szCs w:val="32"/>
    </w:rPr>
  </w:style>
  <w:style w:type="paragraph" w:styleId="Heading3">
    <w:name w:val="heading 3"/>
    <w:basedOn w:val="Normal"/>
    <w:next w:val="Normal"/>
    <w:pPr>
      <w:keepNext w:val="1"/>
      <w:keepLines w:val="1"/>
      <w:spacing w:after="80" w:before="320" w:lineRule="auto"/>
      <w:ind w:firstLine="0"/>
    </w:pPr>
    <w:rPr>
      <w:color w:val="434343"/>
      <w:sz w:val="28"/>
      <w:szCs w:val="28"/>
    </w:rPr>
  </w:style>
  <w:style w:type="paragraph" w:styleId="Heading4">
    <w:name w:val="heading 4"/>
    <w:basedOn w:val="Normal"/>
    <w:next w:val="Normal"/>
    <w:pPr>
      <w:keepNext w:val="1"/>
      <w:keepLines w:val="1"/>
      <w:ind w:firstLine="0"/>
      <w:jc w:val="center"/>
    </w:pPr>
    <w:rPr/>
  </w:style>
  <w:style w:type="paragraph" w:styleId="Heading5">
    <w:name w:val="heading 5"/>
    <w:basedOn w:val="Normal"/>
    <w:next w:val="Normal"/>
    <w:pPr>
      <w:keepNext w:val="1"/>
      <w:keepLines w:val="1"/>
      <w:ind w:firstLine="0"/>
    </w:pPr>
    <w:rPr/>
  </w:style>
  <w:style w:type="paragraph" w:styleId="Heading6">
    <w:name w:val="heading 6"/>
    <w:basedOn w:val="Normal"/>
    <w:next w:val="Normal"/>
    <w:pPr>
      <w:keepNext w:val="1"/>
      <w:keepLines w:val="1"/>
    </w:pPr>
    <w:rPr>
      <w:rFonts w:ascii="Open Sans" w:cs="Open Sans" w:eastAsia="Open Sans" w:hAnsi="Open Sans"/>
      <w:color w:val="ef7e15"/>
    </w:rPr>
  </w:style>
  <w:style w:type="paragraph" w:styleId="Title">
    <w:name w:val="Title"/>
    <w:basedOn w:val="Normal"/>
    <w:next w:val="Normal"/>
    <w:pPr>
      <w:keepNext w:val="1"/>
      <w:keepLines w:val="1"/>
      <w:spacing w:after="60" w:lineRule="auto"/>
    </w:pPr>
    <w:rPr>
      <w:color w:val="0660aa"/>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firstLine="0"/>
    </w:pPr>
    <w:rPr>
      <w:color w:val="0660aa"/>
      <w:sz w:val="40"/>
      <w:szCs w:val="40"/>
    </w:rPr>
  </w:style>
  <w:style w:type="paragraph" w:styleId="Heading2">
    <w:name w:val="heading 2"/>
    <w:basedOn w:val="Normal"/>
    <w:next w:val="Normal"/>
    <w:pPr>
      <w:keepNext w:val="1"/>
      <w:keepLines w:val="1"/>
      <w:spacing w:after="120" w:before="360" w:lineRule="auto"/>
      <w:ind w:firstLine="0"/>
    </w:pPr>
    <w:rPr>
      <w:color w:val="ef7e15"/>
      <w:sz w:val="32"/>
      <w:szCs w:val="32"/>
    </w:rPr>
  </w:style>
  <w:style w:type="paragraph" w:styleId="Heading3">
    <w:name w:val="heading 3"/>
    <w:basedOn w:val="Normal"/>
    <w:next w:val="Normal"/>
    <w:pPr>
      <w:keepNext w:val="1"/>
      <w:keepLines w:val="1"/>
      <w:spacing w:after="80" w:before="320" w:lineRule="auto"/>
      <w:ind w:firstLine="0"/>
    </w:pPr>
    <w:rPr>
      <w:color w:val="434343"/>
      <w:sz w:val="28"/>
      <w:szCs w:val="28"/>
    </w:rPr>
  </w:style>
  <w:style w:type="paragraph" w:styleId="Heading4">
    <w:name w:val="heading 4"/>
    <w:basedOn w:val="Normal"/>
    <w:next w:val="Normal"/>
    <w:pPr>
      <w:keepNext w:val="1"/>
      <w:keepLines w:val="1"/>
      <w:spacing w:after="80" w:before="280" w:lineRule="auto"/>
    </w:pPr>
    <w:rPr>
      <w:b w:val="1"/>
    </w:rPr>
  </w:style>
  <w:style w:type="paragraph" w:styleId="Heading5">
    <w:name w:val="heading 5"/>
    <w:basedOn w:val="Normal"/>
    <w:next w:val="Normal"/>
    <w:pPr>
      <w:keepNext w:val="1"/>
      <w:keepLines w:val="1"/>
    </w:pPr>
    <w:rPr>
      <w:i w:val="1"/>
      <w:color w:val="000000"/>
    </w:rPr>
  </w:style>
  <w:style w:type="paragraph" w:styleId="Heading6">
    <w:name w:val="heading 6"/>
    <w:basedOn w:val="Normal"/>
    <w:next w:val="Normal"/>
    <w:pPr>
      <w:keepNext w:val="1"/>
      <w:keepLines w:val="1"/>
    </w:pPr>
    <w:rPr>
      <w:rFonts w:ascii="Open Sans" w:cs="Open Sans" w:eastAsia="Open Sans" w:hAnsi="Open Sans"/>
      <w:color w:val="ef7e15"/>
    </w:rPr>
  </w:style>
  <w:style w:type="paragraph" w:styleId="Title">
    <w:name w:val="Title"/>
    <w:basedOn w:val="Normal"/>
    <w:next w:val="Normal"/>
    <w:pPr>
      <w:keepNext w:val="1"/>
      <w:keepLines w:val="1"/>
      <w:spacing w:after="60" w:lineRule="auto"/>
    </w:pPr>
    <w:rPr>
      <w:color w:val="0660aa"/>
      <w:sz w:val="56"/>
      <w:szCs w:val="56"/>
    </w:rPr>
  </w:style>
  <w:style w:type="paragraph" w:styleId="Subtitle">
    <w:name w:val="Subtitle"/>
    <w:basedOn w:val="Normal"/>
    <w:next w:val="Normal"/>
    <w:pPr>
      <w:keepNext w:val="1"/>
      <w:keepLines w:val="1"/>
      <w:spacing w:after="320" w:lineRule="auto"/>
    </w:pPr>
    <w:rPr>
      <w:sz w:val="36"/>
      <w:szCs w:val="36"/>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band2Vert">
      <w:tcPr/>
    </w:tblStylePr>
    <w:tblStylePr w:type="firstCol">
      <w:rPr>
        <w:b w:val="1"/>
      </w:rPr>
      <w:tcPr/>
    </w:tblStylePr>
    <w:tblStylePr w:type="firstRow">
      <w:rPr>
        <w:rFonts w:ascii="Calibri" w:cs="Calibri" w:eastAsia="Calibri" w:hAnsi="Calibri"/>
        <w:b w:val="1"/>
        <w:color w:val="ffffff"/>
        <w:sz w:val="22"/>
        <w:szCs w:val="22"/>
      </w:rPr>
      <w:tcPr>
        <w:shd w:fill="0087cb" w:val="clear"/>
      </w:tcPr>
    </w:tblStylePr>
    <w:tblStylePr w:type="lastCol">
      <w:rPr>
        <w:b w:val="1"/>
      </w:rPr>
      <w:tcPr/>
    </w:tblStylePr>
    <w:tblStylePr w:type="lastRow">
      <w:rPr>
        <w:b w:val="1"/>
      </w:rPr>
      <w:tcPr>
        <w:shd w:fill="c5e0b3" w:val="clear"/>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sz w:val="36"/>
      <w:szCs w:val="36"/>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tcPr>
      <w:shd w:fill="0087cb" w:val="clear"/>
    </w:tc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tcPr>
      <w:shd w:fill="0087cb" w:val="clear"/>
    </w:tcPr>
  </w:style>
  <w:style w:type="paragraph" w:styleId="Subtitle">
    <w:name w:val="Subtitle"/>
    <w:basedOn w:val="Normal"/>
    <w:next w:val="Normal"/>
    <w:pPr>
      <w:keepNext w:val="1"/>
      <w:keepLines w:val="1"/>
      <w:spacing w:after="320" w:lineRule="auto"/>
    </w:pPr>
    <w:rPr>
      <w:sz w:val="36"/>
      <w:szCs w:val="36"/>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0087cb" w:val="clear"/>
    </w:tcPr>
    <w:tblStylePr w:type="band1Horz">
      <w:tcPr>
        <w:shd w:fill="d1f0ff" w:val="clear"/>
      </w:tcPr>
    </w:tblStylePr>
    <w:tblStylePr w:type="band1Vert">
      <w:tcPr>
        <w:shd w:fill="e2efd9" w:val="clear"/>
      </w:tcPr>
    </w:tblStylePr>
    <w:tblStylePr w:type="band2Horz">
      <w:tcPr>
        <w:shd w:fill="ffffff" w:val="clear"/>
      </w:tcPr>
    </w:tblStylePr>
    <w:tblStylePr w:type="firstCol">
      <w:rPr>
        <w:b w:val="1"/>
      </w:rPr>
    </w:tblStylePr>
    <w:tblStylePr w:type="firstRow">
      <w:rPr>
        <w:rFonts w:ascii="Calibri" w:cs="Calibri" w:eastAsia="Calibri" w:hAnsi="Calibri"/>
        <w:b w:val="1"/>
        <w:color w:val="ffffff"/>
        <w:sz w:val="22"/>
        <w:szCs w:val="22"/>
      </w:rPr>
      <w:tcPr>
        <w:shd w:fill="0087cb" w:val="clear"/>
      </w:tcPr>
    </w:tblStylePr>
    <w:tblStylePr w:type="lastCol">
      <w:rPr>
        <w:b w:val="1"/>
      </w:rPr>
    </w:tblStylePr>
    <w:tblStylePr w:type="lastRow">
      <w:rPr>
        <w:b w:val="1"/>
      </w:rPr>
      <w:tcPr>
        <w:shd w:fill="c5e0b3" w:val="clear"/>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0087cb"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0087cb"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enodo.org/records/14756503"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 Id="rId11" Type="http://schemas.openxmlformats.org/officeDocument/2006/relationships/image" Target="media/image2.jpg"/><Relationship Id="rId10" Type="http://schemas.openxmlformats.org/officeDocument/2006/relationships/hyperlink" Target="https://creativecommons.org/licenses/by/4.0/" TargetMode="External"/><Relationship Id="rId13" Type="http://schemas.openxmlformats.org/officeDocument/2006/relationships/image" Target="media/image5.png"/><Relationship Id="rId12" Type="http://schemas.openxmlformats.org/officeDocument/2006/relationships/image" Target="media/image1.png"/><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40" Type="http://schemas.openxmlformats.org/officeDocument/2006/relationships/hyperlink" Target="http://ai4europe.eu/research/ai-catalog/smartbay-species-detection" TargetMode="External"/><Relationship Id="rId42" Type="http://schemas.openxmlformats.org/officeDocument/2006/relationships/hyperlink" Target="http://ai4europe.eu/education/education-catalog/best-practices-and-guidelines-developers-and-providers-ai-based-image" TargetMode="External"/><Relationship Id="rId41" Type="http://schemas.openxmlformats.org/officeDocument/2006/relationships/hyperlink" Target="http://ai4europe.eu/business-and-industry/open-calls/imagine-open-call-use-cases" TargetMode="External"/><Relationship Id="rId44" Type="http://schemas.openxmlformats.org/officeDocument/2006/relationships/hyperlink" Target="http://ai4europe.eu/research/ai-catalog/real-time-fish-detection-emso-obsea" TargetMode="External"/><Relationship Id="rId43" Type="http://schemas.openxmlformats.org/officeDocument/2006/relationships/hyperlink" Target="http://ai4europe.eu/education/education-catalog/best-practices-producers-and-providers-image-sets-and-image-analysis" TargetMode="External"/><Relationship Id="rId46" Type="http://schemas.openxmlformats.org/officeDocument/2006/relationships/hyperlink" Target="http://ai4europe.eu/research/ai-catalog/witoil-cloud-imagine" TargetMode="External"/><Relationship Id="rId45" Type="http://schemas.openxmlformats.org/officeDocument/2006/relationships/hyperlink" Target="https://www.ai4europe.eu/research/ai-catalog/litter-assessment-service" TargetMode="External"/><Relationship Id="rId1" Type="http://schemas.openxmlformats.org/officeDocument/2006/relationships/hyperlink" Target="https://open-science-cloud.ec.europa.eu/" TargetMode="External"/><Relationship Id="rId2" Type="http://schemas.openxmlformats.org/officeDocument/2006/relationships/hyperlink" Target="https://aiod.eu/" TargetMode="External"/><Relationship Id="rId3" Type="http://schemas.openxmlformats.org/officeDocument/2006/relationships/hyperlink" Target="https://eosc.eu/eosc-federation-handbook/" TargetMode="External"/><Relationship Id="rId4" Type="http://schemas.openxmlformats.org/officeDocument/2006/relationships/hyperlink" Target="https://ai4europe.aiod.eu/" TargetMode="External"/><Relationship Id="rId9" Type="http://schemas.openxmlformats.org/officeDocument/2006/relationships/hyperlink" Target="https://zenodo.org/records/7760413" TargetMode="External"/><Relationship Id="rId48" Type="http://schemas.openxmlformats.org/officeDocument/2006/relationships/hyperlink" Target="https://www.ai4europe.eu/business-and-industry/case-studies" TargetMode="External"/><Relationship Id="rId47" Type="http://schemas.openxmlformats.org/officeDocument/2006/relationships/hyperlink" Target="https://github.com/ai4eu/Technical-Contributors-Board" TargetMode="External"/><Relationship Id="rId49" Type="http://schemas.openxmlformats.org/officeDocument/2006/relationships/hyperlink" Target="https://www.eosc-beyond.eu/" TargetMode="External"/><Relationship Id="rId5" Type="http://schemas.openxmlformats.org/officeDocument/2006/relationships/hyperlink" Target="https://deployaiproject.eu/" TargetMode="External"/><Relationship Id="rId6" Type="http://schemas.openxmlformats.org/officeDocument/2006/relationships/hyperlink" Target="https://ted.europa.eu/en/notice/-/detail/712679-2023" TargetMode="External"/><Relationship Id="rId7" Type="http://schemas.openxmlformats.org/officeDocument/2006/relationships/hyperlink" Target="https://eosc.eu/eosc-federation-handbook/" TargetMode="External"/><Relationship Id="rId8" Type="http://schemas.openxmlformats.org/officeDocument/2006/relationships/hyperlink" Target="https://open-science-cloud.ec.europa.eu/resources/all" TargetMode="External"/><Relationship Id="rId31" Type="http://schemas.openxmlformats.org/officeDocument/2006/relationships/hyperlink" Target="http://ai4europe.eu/business-and-industry/case-studies/fish-otoliths" TargetMode="External"/><Relationship Id="rId30" Type="http://schemas.openxmlformats.org/officeDocument/2006/relationships/hyperlink" Target="http://ai4europe.eu/business-and-industry/case-studies/eyeonwater" TargetMode="External"/><Relationship Id="rId33" Type="http://schemas.openxmlformats.org/officeDocument/2006/relationships/hyperlink" Target="http://ai4europe.eu/business-and-industry/case-studies/cold-water-coral-reefs" TargetMode="External"/><Relationship Id="rId32" Type="http://schemas.openxmlformats.org/officeDocument/2006/relationships/hyperlink" Target="http://ai4europe.eu/business-and-industry/case-studies/ecosystem-monitoring-emso-sites-video-imagery" TargetMode="External"/><Relationship Id="rId35" Type="http://schemas.openxmlformats.org/officeDocument/2006/relationships/hyperlink" Target="http://ai4europe.eu/business-and-industry/case-studies/aquatic-litter-drones" TargetMode="External"/><Relationship Id="rId34" Type="http://schemas.openxmlformats.org/officeDocument/2006/relationships/hyperlink" Target="http://ai4europe.eu/business-and-industry/case-studies/beach-monitoring" TargetMode="External"/><Relationship Id="rId37" Type="http://schemas.openxmlformats.org/officeDocument/2006/relationships/hyperlink" Target="http://ai4europe.eu/research/ai-catalog/zooprocess-multiple-classifier" TargetMode="External"/><Relationship Id="rId36" Type="http://schemas.openxmlformats.org/officeDocument/2006/relationships/hyperlink" Target="http://ai4europe.eu/research/ai-catalog/zooprocess-multiple-separator" TargetMode="External"/><Relationship Id="rId39" Type="http://schemas.openxmlformats.org/officeDocument/2006/relationships/hyperlink" Target="http://ai4europe.eu/research/ai-catalog/deep-species-detection" TargetMode="External"/><Relationship Id="rId38" Type="http://schemas.openxmlformats.org/officeDocument/2006/relationships/hyperlink" Target="http://ai4europe.eu/research/ai-catalog/smartbay-prawn-burrow-detection" TargetMode="External"/><Relationship Id="rId20" Type="http://schemas.openxmlformats.org/officeDocument/2006/relationships/hyperlink" Target="https://api.aiod.eu/docs" TargetMode="External"/><Relationship Id="rId22" Type="http://schemas.openxmlformats.org/officeDocument/2006/relationships/hyperlink" Target="https://gitlab.eclipse.org/eclipse/graphene" TargetMode="External"/><Relationship Id="rId21" Type="http://schemas.openxmlformats.org/officeDocument/2006/relationships/hyperlink" Target="https://aiondemand.readthedocs.io/" TargetMode="External"/><Relationship Id="rId24" Type="http://schemas.openxmlformats.org/officeDocument/2006/relationships/hyperlink" Target="http://ai4europe.eu/business-and-industry/case-studies/zooprocess" TargetMode="External"/><Relationship Id="rId23" Type="http://schemas.openxmlformats.org/officeDocument/2006/relationships/hyperlink" Target="http://ai4europe.eu/ai-community/projects/imagine" TargetMode="External"/><Relationship Id="rId26" Type="http://schemas.openxmlformats.org/officeDocument/2006/relationships/hyperlink" Target="http://ai4europe.eu/business-and-industry/case-studies/satellite-derived-bathymetry" TargetMode="External"/><Relationship Id="rId25" Type="http://schemas.openxmlformats.org/officeDocument/2006/relationships/hyperlink" Target="http://ai4europe.eu/business-and-industry/case-studies/underwater-noise-identification" TargetMode="External"/><Relationship Id="rId28" Type="http://schemas.openxmlformats.org/officeDocument/2006/relationships/hyperlink" Target="http://ai4europe.eu/business-and-industry/case-studies/freshwater-diatoms-identification" TargetMode="External"/><Relationship Id="rId27" Type="http://schemas.openxmlformats.org/officeDocument/2006/relationships/hyperlink" Target="http://ai4europe.eu/business-and-industry/case-studies/oil-spill-detection" TargetMode="External"/><Relationship Id="rId29" Type="http://schemas.openxmlformats.org/officeDocument/2006/relationships/hyperlink" Target="http://ai4europe.eu/business-and-industry/case-studies/flowcam-phytoplankton-identification" TargetMode="External"/><Relationship Id="rId51" Type="http://schemas.openxmlformats.org/officeDocument/2006/relationships/hyperlink" Target="https://eosc.eu/eosc-about/building-the-eosc-federation/contributing-to-the-build-up-phase-of-the-eosc-federation/" TargetMode="External"/><Relationship Id="rId50" Type="http://schemas.openxmlformats.org/officeDocument/2006/relationships/hyperlink" Target="https://eoscfuture.eu/" TargetMode="External"/><Relationship Id="rId53" Type="http://schemas.openxmlformats.org/officeDocument/2006/relationships/hyperlink" Target="https://zenodo.org/" TargetMode="External"/><Relationship Id="rId52" Type="http://schemas.openxmlformats.org/officeDocument/2006/relationships/hyperlink" Target="https://eosc.eu/building-the-eosc-federation/" TargetMode="External"/><Relationship Id="rId11" Type="http://schemas.openxmlformats.org/officeDocument/2006/relationships/hyperlink" Target="https://www.eosc-beyond.eu/" TargetMode="External"/><Relationship Id="rId10" Type="http://schemas.openxmlformats.org/officeDocument/2006/relationships/hyperlink" Target="https://www.blue-cloud.org/" TargetMode="External"/><Relationship Id="rId54" Type="http://schemas.openxmlformats.org/officeDocument/2006/relationships/hyperlink" Target="https://open-science-cloud.ec.europa.eu/resources/services/21.11166%252FdMw0K1" TargetMode="External"/><Relationship Id="rId13" Type="http://schemas.openxmlformats.org/officeDocument/2006/relationships/hyperlink" Target="https://eosc.eu/eosc-task-forces/" TargetMode="External"/><Relationship Id="rId12" Type="http://schemas.openxmlformats.org/officeDocument/2006/relationships/hyperlink" Target="https://www.lifewatch.eu/" TargetMode="External"/><Relationship Id="rId15" Type="http://schemas.openxmlformats.org/officeDocument/2006/relationships/hyperlink" Target="https://cordis.europa.eu/project/id/825619" TargetMode="External"/><Relationship Id="rId14" Type="http://schemas.openxmlformats.org/officeDocument/2006/relationships/hyperlink" Target="https://zenodo.org/records/7793950" TargetMode="External"/><Relationship Id="rId17" Type="http://schemas.openxmlformats.org/officeDocument/2006/relationships/hyperlink" Target="https://aiexp.ai4europe.eu/" TargetMode="External"/><Relationship Id="rId16" Type="http://schemas.openxmlformats.org/officeDocument/2006/relationships/hyperlink" Target="https://www.ai4europe.eu/" TargetMode="External"/><Relationship Id="rId19" Type="http://schemas.openxmlformats.org/officeDocument/2006/relationships/hyperlink" Target="https://www.ai4europe.eu/ai-community/projects/ai4europe" TargetMode="External"/><Relationship Id="rId18" Type="http://schemas.openxmlformats.org/officeDocument/2006/relationships/hyperlink" Target="https://ai4europe.aiod.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0Oa2cOU4qfwkp5xllPWVmxrd1w==">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