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DA894" w14:textId="77777777" w:rsidR="00A85F75" w:rsidRDefault="00734A48" w:rsidP="00854C33">
      <w:pPr>
        <w:spacing w:before="403" w:after="115"/>
        <w:jc w:val="center"/>
      </w:pPr>
      <w:r>
        <w:rPr>
          <w:noProof/>
        </w:rPr>
        <w:drawing>
          <wp:inline distT="114300" distB="114300" distL="114300" distR="114300" wp14:anchorId="6088CAFD" wp14:editId="7AE025D2">
            <wp:extent cx="3726000" cy="2192400"/>
            <wp:effectExtent l="0" t="0" r="0" b="5080"/>
            <wp:docPr id="2" name="image3.png" descr="interTwin logo&#10;"/>
            <wp:cNvGraphicFramePr/>
            <a:graphic xmlns:a="http://schemas.openxmlformats.org/drawingml/2006/main">
              <a:graphicData uri="http://schemas.openxmlformats.org/drawingml/2006/picture">
                <pic:pic xmlns:pic="http://schemas.openxmlformats.org/drawingml/2006/picture">
                  <pic:nvPicPr>
                    <pic:cNvPr id="2" name="image3.png" descr="interTwin logo&#10;"/>
                    <pic:cNvPicPr preferRelativeResize="0"/>
                  </pic:nvPicPr>
                  <pic:blipFill>
                    <a:blip r:embed="rId8"/>
                    <a:srcRect/>
                    <a:stretch>
                      <a:fillRect/>
                    </a:stretch>
                  </pic:blipFill>
                  <pic:spPr>
                    <a:xfrm>
                      <a:off x="0" y="0"/>
                      <a:ext cx="3726000" cy="2192400"/>
                    </a:xfrm>
                    <a:prstGeom prst="rect">
                      <a:avLst/>
                    </a:prstGeom>
                    <a:ln/>
                  </pic:spPr>
                </pic:pic>
              </a:graphicData>
            </a:graphic>
          </wp:inline>
        </w:drawing>
      </w:r>
    </w:p>
    <w:p w14:paraId="0C88F5D5" w14:textId="77777777" w:rsidR="00584D50" w:rsidRDefault="00584D50" w:rsidP="00584D50">
      <w:pPr>
        <w:spacing w:before="403" w:after="115"/>
      </w:pPr>
      <w:r>
        <w:rPr>
          <w:noProof/>
        </w:rPr>
        <mc:AlternateContent>
          <mc:Choice Requires="wps">
            <w:drawing>
              <wp:anchor distT="0" distB="0" distL="114300" distR="114300" simplePos="0" relativeHeight="251659264" behindDoc="0" locked="0" layoutInCell="1" allowOverlap="1" wp14:anchorId="0417E84C" wp14:editId="24375A97">
                <wp:simplePos x="0" y="0"/>
                <wp:positionH relativeFrom="column">
                  <wp:posOffset>358775</wp:posOffset>
                </wp:positionH>
                <wp:positionV relativeFrom="paragraph">
                  <wp:posOffset>137795</wp:posOffset>
                </wp:positionV>
                <wp:extent cx="5161915" cy="0"/>
                <wp:effectExtent l="0" t="12700" r="19685" b="12700"/>
                <wp:wrapNone/>
                <wp:docPr id="4" name="Straight Connector 4"/>
                <wp:cNvGraphicFramePr/>
                <a:graphic xmlns:a="http://schemas.openxmlformats.org/drawingml/2006/main">
                  <a:graphicData uri="http://schemas.microsoft.com/office/word/2010/wordprocessingShape">
                    <wps:wsp>
                      <wps:cNvCnPr/>
                      <wps:spPr>
                        <a:xfrm>
                          <a:off x="0" y="0"/>
                          <a:ext cx="516191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3991071"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25pt,10.85pt" to="434.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" strokecolor="#ed7d31 [3205]" strokeweight="1.5pt">
                <v:stroke joinstyle="miter"/>
              </v:line>
            </w:pict>
          </mc:Fallback>
        </mc:AlternateContent>
      </w:r>
    </w:p>
    <w:p w14:paraId="7D4BAB77" w14:textId="77777777" w:rsidR="00C05ED1" w:rsidRPr="00C05ED1" w:rsidRDefault="00C05ED1" w:rsidP="00C05ED1"/>
    <w:p w14:paraId="5AFDF22F" w14:textId="1341E20C" w:rsidR="00C4759F" w:rsidRDefault="00A02949" w:rsidP="00F60087">
      <w:pPr>
        <w:keepNext/>
        <w:keepLines/>
        <w:spacing w:before="1440" w:after="120" w:line="276" w:lineRule="auto"/>
        <w:jc w:val="center"/>
        <w:rPr>
          <w:rFonts w:ascii="Open Sans" w:eastAsia="Open Sans" w:hAnsi="Open Sans" w:cs="Open Sans"/>
          <w:b/>
          <w:color w:val="434343"/>
          <w:sz w:val="72"/>
          <w:szCs w:val="72"/>
          <w:lang w:eastAsia="en-GB"/>
        </w:rPr>
      </w:pPr>
      <w:bookmarkStart w:id="0" w:name="_b5ylnksz9na8" w:colFirst="0" w:colLast="0"/>
      <w:bookmarkEnd w:id="0"/>
      <w:r>
        <w:rPr>
          <w:rFonts w:ascii="Open Sans" w:eastAsia="Open Sans" w:hAnsi="Open Sans" w:cs="Open Sans"/>
          <w:b/>
          <w:color w:val="434343"/>
          <w:sz w:val="72"/>
          <w:szCs w:val="72"/>
          <w:lang w:eastAsia="en-GB"/>
        </w:rPr>
        <w:t>RP1 POLICY BRIEF</w:t>
      </w:r>
    </w:p>
    <w:p w14:paraId="5B40DBF3" w14:textId="6DB847AC" w:rsidR="004B7729" w:rsidRPr="003A4C3C" w:rsidRDefault="004B7729" w:rsidP="004B7729">
      <w:pPr>
        <w:spacing w:before="120"/>
        <w:jc w:val="center"/>
        <w:rPr>
          <w:rFonts w:ascii="Open Sans" w:hAnsi="Open Sans" w:cs="Open Sans"/>
          <w:b/>
          <w:lang w:val="en-US"/>
        </w:rPr>
      </w:pPr>
      <w:r w:rsidRPr="003A4C3C">
        <w:rPr>
          <w:rFonts w:ascii="Open Sans" w:eastAsia="Open Sans" w:hAnsi="Open Sans" w:cs="Open Sans"/>
          <w:b/>
          <w:color w:val="434343"/>
          <w:lang w:eastAsia="en-GB"/>
        </w:rPr>
        <w:t xml:space="preserve">Status: </w:t>
      </w:r>
      <w:r w:rsidRPr="003A4C3C">
        <w:rPr>
          <w:rFonts w:ascii="Open Sans" w:hAnsi="Open Sans" w:cs="Open Sans"/>
          <w:b/>
          <w:lang w:val="en-US"/>
        </w:rPr>
        <w:t>FINAL</w:t>
      </w:r>
    </w:p>
    <w:p w14:paraId="1AB92942" w14:textId="41AAA991" w:rsidR="001B4847" w:rsidRPr="002A2E66" w:rsidRDefault="004B7729" w:rsidP="002A2E66">
      <w:pPr>
        <w:jc w:val="center"/>
        <w:rPr>
          <w:rFonts w:ascii="Open Sans" w:eastAsia="Open Sans" w:hAnsi="Open Sans" w:cs="Open Sans"/>
          <w:b/>
          <w:color w:val="434343"/>
          <w:sz w:val="40"/>
          <w:szCs w:val="40"/>
          <w:lang w:eastAsia="en-GB"/>
        </w:rPr>
      </w:pPr>
      <w:r w:rsidRPr="003A4C3C">
        <w:rPr>
          <w:rFonts w:ascii="Open Sans" w:eastAsia="Open Sans" w:hAnsi="Open Sans" w:cs="Open Sans"/>
          <w:b/>
          <w:color w:val="434343"/>
          <w:lang w:eastAsia="en-GB"/>
        </w:rPr>
        <w:t xml:space="preserve">Dissemination Level: </w:t>
      </w:r>
      <w:bookmarkStart w:id="1" w:name="_x85ed8dab1ec" w:colFirst="0" w:colLast="0"/>
      <w:bookmarkEnd w:id="1"/>
      <w:r w:rsidR="00F25B54">
        <w:rPr>
          <w:rFonts w:ascii="Open Sans" w:eastAsia="Open Sans" w:hAnsi="Open Sans" w:cs="Open Sans"/>
          <w:b/>
          <w:color w:val="434343"/>
          <w:lang w:eastAsia="en-GB"/>
        </w:rPr>
        <w:t>Public</w:t>
      </w:r>
      <w:r w:rsidR="004B0D65">
        <w:br w:type="page"/>
      </w:r>
    </w:p>
    <w:tbl>
      <w:tblPr>
        <w:tblStyle w:val="Style1-interTwin"/>
        <w:tblW w:w="9616" w:type="dxa"/>
        <w:tblCellMar>
          <w:top w:w="57" w:type="dxa"/>
        </w:tblCellMar>
        <w:tblLook w:val="04A0" w:firstRow="1" w:lastRow="0" w:firstColumn="1" w:lastColumn="0" w:noHBand="0" w:noVBand="1"/>
      </w:tblPr>
      <w:tblGrid>
        <w:gridCol w:w="2962"/>
        <w:gridCol w:w="6654"/>
      </w:tblGrid>
      <w:tr w:rsidR="00F237A6" w14:paraId="14D8C37E" w14:textId="77777777" w:rsidTr="00C51EEF">
        <w:trPr>
          <w:cnfStyle w:val="100000000000" w:firstRow="1" w:lastRow="0" w:firstColumn="0" w:lastColumn="0" w:oddVBand="0" w:evenVBand="0" w:oddHBand="0" w:evenHBand="0" w:firstRowFirstColumn="0" w:firstRowLastColumn="0" w:lastRowFirstColumn="0" w:lastRowLastColumn="0"/>
          <w:cantSplit/>
        </w:trPr>
        <w:tc>
          <w:tcPr>
            <w:tcW w:w="9616" w:type="dxa"/>
            <w:gridSpan w:val="2"/>
            <w:vAlign w:val="center"/>
          </w:tcPr>
          <w:p w14:paraId="4C708CDC" w14:textId="78176096" w:rsidR="00F237A6" w:rsidRDefault="00D74834" w:rsidP="001B4847">
            <w:r>
              <w:lastRenderedPageBreak/>
              <w:t>I</w:t>
            </w:r>
            <w:r w:rsidRPr="00D74834">
              <w:t xml:space="preserve">ntroduction: </w:t>
            </w:r>
            <w:r>
              <w:t>P</w:t>
            </w:r>
            <w:r w:rsidRPr="00D74834">
              <w:t>roject title and project objectives</w:t>
            </w:r>
          </w:p>
        </w:tc>
      </w:tr>
      <w:tr w:rsidR="00A555A0" w:rsidRPr="00A555A0" w14:paraId="0B7EE646" w14:textId="77777777" w:rsidTr="00C51EEF">
        <w:trPr>
          <w:cnfStyle w:val="000000100000" w:firstRow="0" w:lastRow="0" w:firstColumn="0" w:lastColumn="0" w:oddVBand="0" w:evenVBand="0" w:oddHBand="1" w:evenHBand="0" w:firstRowFirstColumn="0" w:firstRowLastColumn="0" w:lastRowFirstColumn="0" w:lastRowLastColumn="0"/>
          <w:cantSplit/>
        </w:trPr>
        <w:tc>
          <w:tcPr>
            <w:tcW w:w="9616" w:type="dxa"/>
            <w:gridSpan w:val="2"/>
            <w:tcBorders>
              <w:top w:val="single" w:sz="12" w:space="0" w:color="B7B7B7"/>
            </w:tcBorders>
            <w:shd w:val="clear" w:color="auto" w:fill="767171" w:themeFill="background2" w:themeFillShade="80"/>
            <w:vAlign w:val="center"/>
          </w:tcPr>
          <w:p w14:paraId="5AD07E02" w14:textId="26B9C0CC" w:rsidR="00F237A6" w:rsidRPr="00C4759F" w:rsidRDefault="00B0218F" w:rsidP="001B4847">
            <w:pPr>
              <w:rPr>
                <w:b/>
                <w:bCs/>
                <w:color w:val="FFFFFF" w:themeColor="background1"/>
                <w:highlight w:val="red"/>
                <w:lang w:val="en-US"/>
              </w:rPr>
            </w:pPr>
            <w:r w:rsidRPr="008F5C50">
              <w:rPr>
                <w:b/>
                <w:bCs/>
                <w:color w:val="FFFFFF" w:themeColor="background1"/>
                <w:lang w:val="en-US"/>
              </w:rPr>
              <w:t>RP1 POLICY BRIEF</w:t>
            </w:r>
            <w:r w:rsidR="00AA31F8" w:rsidRPr="008F5C50">
              <w:rPr>
                <w:b/>
                <w:bCs/>
                <w:color w:val="FFFFFF" w:themeColor="background1"/>
                <w:lang w:val="en-US"/>
              </w:rPr>
              <w:t xml:space="preserve"> </w:t>
            </w:r>
          </w:p>
        </w:tc>
      </w:tr>
      <w:tr w:rsidR="00C51EEF" w14:paraId="11977F2E" w14:textId="77777777" w:rsidTr="00B23BF4">
        <w:trPr>
          <w:cnfStyle w:val="000000010000" w:firstRow="0" w:lastRow="0" w:firstColumn="0" w:lastColumn="0" w:oddVBand="0" w:evenVBand="0" w:oddHBand="0" w:evenHBand="1" w:firstRowFirstColumn="0" w:firstRowLastColumn="0" w:lastRowFirstColumn="0" w:lastRowLastColumn="0"/>
          <w:cantSplit/>
          <w:trHeight w:val="460"/>
        </w:trPr>
        <w:tc>
          <w:tcPr>
            <w:tcW w:w="2962" w:type="dxa"/>
            <w:vAlign w:val="center"/>
          </w:tcPr>
          <w:p w14:paraId="6AF1D166" w14:textId="10A3B6EF" w:rsidR="00C51EEF" w:rsidRPr="00634632" w:rsidRDefault="005B0BEE" w:rsidP="001B4847">
            <w:pPr>
              <w:rPr>
                <w:b/>
                <w:bCs/>
                <w:lang w:val="en-US"/>
              </w:rPr>
            </w:pPr>
            <w:r>
              <w:rPr>
                <w:b/>
                <w:bCs/>
                <w:lang w:val="en-US"/>
              </w:rPr>
              <w:t>CALL</w:t>
            </w:r>
          </w:p>
        </w:tc>
        <w:tc>
          <w:tcPr>
            <w:tcW w:w="6654" w:type="dxa"/>
            <w:vAlign w:val="center"/>
          </w:tcPr>
          <w:p w14:paraId="59FB1D14" w14:textId="0BD208B1" w:rsidR="00C51EEF" w:rsidRPr="0063113F" w:rsidRDefault="000E100F" w:rsidP="001B4847">
            <w:pPr>
              <w:rPr>
                <w:lang w:val="en-US"/>
              </w:rPr>
            </w:pPr>
            <w:r w:rsidRPr="000E100F">
              <w:t>HORIZON-INFRA-2021-TECH-01</w:t>
            </w:r>
          </w:p>
        </w:tc>
      </w:tr>
      <w:tr w:rsidR="005B0BEE" w14:paraId="29065674" w14:textId="77777777" w:rsidTr="00B23BF4">
        <w:trPr>
          <w:cnfStyle w:val="000000100000" w:firstRow="0" w:lastRow="0" w:firstColumn="0" w:lastColumn="0" w:oddVBand="0" w:evenVBand="0" w:oddHBand="1" w:evenHBand="0" w:firstRowFirstColumn="0" w:firstRowLastColumn="0" w:lastRowFirstColumn="0" w:lastRowLastColumn="0"/>
          <w:cantSplit/>
          <w:trHeight w:val="460"/>
        </w:trPr>
        <w:tc>
          <w:tcPr>
            <w:tcW w:w="2962" w:type="dxa"/>
            <w:vAlign w:val="center"/>
          </w:tcPr>
          <w:p w14:paraId="42735373" w14:textId="215D25F5" w:rsidR="005B0BEE" w:rsidRDefault="005B0BEE" w:rsidP="001B4847">
            <w:pPr>
              <w:rPr>
                <w:b/>
                <w:bCs/>
                <w:lang w:val="en-US"/>
              </w:rPr>
            </w:pPr>
            <w:r>
              <w:rPr>
                <w:b/>
                <w:bCs/>
                <w:lang w:val="en-US"/>
              </w:rPr>
              <w:t>TOPIC</w:t>
            </w:r>
          </w:p>
        </w:tc>
        <w:tc>
          <w:tcPr>
            <w:tcW w:w="6654" w:type="dxa"/>
            <w:vAlign w:val="center"/>
          </w:tcPr>
          <w:p w14:paraId="5D553605" w14:textId="14DE71F0" w:rsidR="005B0BEE" w:rsidRPr="0063113F" w:rsidRDefault="00916B7C" w:rsidP="001B4847">
            <w:pPr>
              <w:rPr>
                <w:lang w:val="en-US"/>
              </w:rPr>
            </w:pPr>
            <w:r w:rsidRPr="00916B7C">
              <w:t>HORIZON-INFRA-2021-TECH-01-01</w:t>
            </w:r>
          </w:p>
        </w:tc>
      </w:tr>
      <w:tr w:rsidR="00C51EEF" w14:paraId="4E9BCBF1" w14:textId="77777777" w:rsidTr="00B23BF4">
        <w:trPr>
          <w:cnfStyle w:val="000000010000" w:firstRow="0" w:lastRow="0" w:firstColumn="0" w:lastColumn="0" w:oddVBand="0" w:evenVBand="0" w:oddHBand="0" w:evenHBand="1" w:firstRowFirstColumn="0" w:firstRowLastColumn="0" w:lastRowFirstColumn="0" w:lastRowLastColumn="0"/>
          <w:cantSplit/>
        </w:trPr>
        <w:tc>
          <w:tcPr>
            <w:tcW w:w="2962" w:type="dxa"/>
            <w:vAlign w:val="center"/>
          </w:tcPr>
          <w:p w14:paraId="6E181903" w14:textId="67AE1FCE" w:rsidR="00C51EEF" w:rsidRPr="00634632" w:rsidRDefault="005B0BEE" w:rsidP="001B4847">
            <w:pPr>
              <w:rPr>
                <w:b/>
                <w:bCs/>
                <w:lang w:val="en-US"/>
              </w:rPr>
            </w:pPr>
            <w:r>
              <w:rPr>
                <w:b/>
                <w:bCs/>
                <w:lang w:val="en-US"/>
              </w:rPr>
              <w:t>PROJECT</w:t>
            </w:r>
          </w:p>
        </w:tc>
        <w:tc>
          <w:tcPr>
            <w:tcW w:w="6654" w:type="dxa"/>
            <w:vAlign w:val="center"/>
          </w:tcPr>
          <w:p w14:paraId="3CBE80A7" w14:textId="77777777" w:rsidR="00C51EEF" w:rsidRDefault="00170F54" w:rsidP="008E77D0">
            <w:pPr>
              <w:spacing w:before="120"/>
            </w:pPr>
            <w:r w:rsidRPr="00170F54">
              <w:t>An interdisciplinary Digital Twin Engine for science (interTwin)</w:t>
            </w:r>
          </w:p>
          <w:p w14:paraId="2D847C28" w14:textId="3987022B" w:rsidR="00684FE5" w:rsidRPr="00684FE5" w:rsidRDefault="00000000" w:rsidP="008E77D0">
            <w:pPr>
              <w:spacing w:before="120"/>
              <w:rPr>
                <w:b/>
                <w:bCs/>
                <w:highlight w:val="green"/>
                <w:lang w:val="en-US"/>
              </w:rPr>
            </w:pPr>
            <w:hyperlink r:id="rId9">
              <w:r w:rsidR="00684FE5" w:rsidRPr="00684FE5">
                <w:rPr>
                  <w:rStyle w:val="Hyperlink"/>
                  <w:b/>
                  <w:bCs/>
                  <w:color w:val="EF8200"/>
                </w:rPr>
                <w:t>https://www.intertwin.eu/</w:t>
              </w:r>
            </w:hyperlink>
          </w:p>
        </w:tc>
      </w:tr>
      <w:tr w:rsidR="00AA3701" w14:paraId="68C3EDFD" w14:textId="77777777" w:rsidTr="00B23BF4">
        <w:trPr>
          <w:cnfStyle w:val="000000100000" w:firstRow="0" w:lastRow="0" w:firstColumn="0" w:lastColumn="0" w:oddVBand="0" w:evenVBand="0" w:oddHBand="1" w:evenHBand="0" w:firstRowFirstColumn="0" w:firstRowLastColumn="0" w:lastRowFirstColumn="0" w:lastRowLastColumn="0"/>
          <w:cantSplit/>
        </w:trPr>
        <w:tc>
          <w:tcPr>
            <w:tcW w:w="2962" w:type="dxa"/>
            <w:vAlign w:val="center"/>
          </w:tcPr>
          <w:p w14:paraId="04397103" w14:textId="20445B94" w:rsidR="00AA3701" w:rsidRPr="000E5C39" w:rsidRDefault="000E5C39" w:rsidP="001B4847">
            <w:pPr>
              <w:rPr>
                <w:b/>
                <w:bCs/>
              </w:rPr>
            </w:pPr>
            <w:r w:rsidRPr="000E5C39">
              <w:rPr>
                <w:b/>
                <w:bCs/>
              </w:rPr>
              <w:t>PROJECT: objectives</w:t>
            </w:r>
          </w:p>
        </w:tc>
        <w:tc>
          <w:tcPr>
            <w:tcW w:w="6654" w:type="dxa"/>
            <w:vAlign w:val="center"/>
          </w:tcPr>
          <w:p w14:paraId="2328640F" w14:textId="77777777" w:rsidR="006F2CC5" w:rsidRPr="006F2CC5" w:rsidRDefault="006F2CC5" w:rsidP="006F2CC5">
            <w:pPr>
              <w:numPr>
                <w:ilvl w:val="0"/>
                <w:numId w:val="41"/>
              </w:numPr>
              <w:rPr>
                <w:rFonts w:eastAsia="Arial" w:cs="Open Sans"/>
              </w:rPr>
            </w:pPr>
            <w:r w:rsidRPr="006F2CC5">
              <w:rPr>
                <w:rFonts w:eastAsia="Arial" w:cs="Open Sans"/>
              </w:rPr>
              <w:t>Co-design, develop and provide a Digital Twin Engine that simplifies &amp; accelerates the development of complex application-specific DTs that benefits researchers, business, and civil society</w:t>
            </w:r>
          </w:p>
          <w:p w14:paraId="5F934B92" w14:textId="77777777" w:rsidR="006F2CC5" w:rsidRPr="006F2CC5" w:rsidRDefault="006F2CC5" w:rsidP="006F2CC5">
            <w:pPr>
              <w:numPr>
                <w:ilvl w:val="0"/>
                <w:numId w:val="41"/>
              </w:numPr>
              <w:rPr>
                <w:rFonts w:eastAsia="Arial" w:cs="Open Sans"/>
              </w:rPr>
            </w:pPr>
            <w:r w:rsidRPr="006F2CC5">
              <w:rPr>
                <w:rFonts w:eastAsia="Arial" w:cs="Open Sans"/>
              </w:rPr>
              <w:t>Co-design a Digital Twin Engine blueprint architecture that provides a conceptual framework for the development of DTs supporting interoperability, performance, portability, and accuracy.</w:t>
            </w:r>
          </w:p>
          <w:p w14:paraId="30C6FBC1" w14:textId="77777777" w:rsidR="006F2CC5" w:rsidRPr="006F2CC5" w:rsidRDefault="006F2CC5" w:rsidP="006F2CC5">
            <w:pPr>
              <w:numPr>
                <w:ilvl w:val="0"/>
                <w:numId w:val="41"/>
              </w:numPr>
              <w:rPr>
                <w:rFonts w:eastAsia="Arial" w:cs="Open Sans"/>
              </w:rPr>
            </w:pPr>
            <w:r w:rsidRPr="006F2CC5">
              <w:rPr>
                <w:rFonts w:eastAsia="Arial" w:cs="Open Sans"/>
              </w:rPr>
              <w:t>Extend the technical capabilities of the European Open Science Cloud with modelling and simulation tools integrated with its compute platform</w:t>
            </w:r>
          </w:p>
          <w:p w14:paraId="5CB4DB2D" w14:textId="77777777" w:rsidR="006F2CC5" w:rsidRPr="006F2CC5" w:rsidRDefault="006F2CC5" w:rsidP="006F2CC5">
            <w:pPr>
              <w:numPr>
                <w:ilvl w:val="0"/>
                <w:numId w:val="41"/>
              </w:numPr>
              <w:rPr>
                <w:rFonts w:eastAsia="Arial" w:cs="Open Sans"/>
              </w:rPr>
            </w:pPr>
            <w:r w:rsidRPr="006F2CC5">
              <w:rPr>
                <w:rFonts w:eastAsia="Arial" w:cs="Open Sans"/>
              </w:rPr>
              <w:t>Ensure trust and reproducibility in science through quality, reliability, and verifiability of the outputs of Digital Twins</w:t>
            </w:r>
          </w:p>
          <w:p w14:paraId="011AA0B6" w14:textId="77777777" w:rsidR="006F2CC5" w:rsidRDefault="006F2CC5" w:rsidP="006F2CC5">
            <w:pPr>
              <w:numPr>
                <w:ilvl w:val="0"/>
                <w:numId w:val="41"/>
              </w:numPr>
              <w:rPr>
                <w:rFonts w:eastAsia="Arial" w:cs="Open Sans"/>
              </w:rPr>
            </w:pPr>
            <w:r w:rsidRPr="006F2CC5">
              <w:rPr>
                <w:rFonts w:eastAsia="Arial" w:cs="Open Sans"/>
              </w:rPr>
              <w:t>Demonstrate data fusion with complex modelling &amp; prediction technologies</w:t>
            </w:r>
          </w:p>
          <w:p w14:paraId="2AB12422" w14:textId="60FDBBCD" w:rsidR="00AA3701" w:rsidRPr="006F2CC5" w:rsidRDefault="006F2CC5" w:rsidP="006F2CC5">
            <w:pPr>
              <w:numPr>
                <w:ilvl w:val="0"/>
                <w:numId w:val="41"/>
              </w:numPr>
              <w:rPr>
                <w:rFonts w:eastAsia="Arial" w:cs="Open Sans"/>
              </w:rPr>
            </w:pPr>
            <w:r w:rsidRPr="006F2CC5">
              <w:rPr>
                <w:rFonts w:eastAsia="Arial" w:cs="Open Sans"/>
              </w:rPr>
              <w:t>Simplify DT application development with tools to manage AI workflows and the model lifecycle while reinforcing open science practices</w:t>
            </w:r>
          </w:p>
        </w:tc>
      </w:tr>
      <w:tr w:rsidR="00AA3701" w14:paraId="1CA94197" w14:textId="77777777" w:rsidTr="00B23BF4">
        <w:trPr>
          <w:cnfStyle w:val="000000010000" w:firstRow="0" w:lastRow="0" w:firstColumn="0" w:lastColumn="0" w:oddVBand="0" w:evenVBand="0" w:oddHBand="0" w:evenHBand="1" w:firstRowFirstColumn="0" w:firstRowLastColumn="0" w:lastRowFirstColumn="0" w:lastRowLastColumn="0"/>
          <w:cantSplit/>
        </w:trPr>
        <w:tc>
          <w:tcPr>
            <w:tcW w:w="2962" w:type="dxa"/>
            <w:vAlign w:val="center"/>
          </w:tcPr>
          <w:p w14:paraId="43F17110" w14:textId="07E0135C" w:rsidR="00AA3701" w:rsidRDefault="00B23BF4" w:rsidP="001B4847">
            <w:pPr>
              <w:rPr>
                <w:b/>
                <w:bCs/>
                <w:lang w:val="en-US"/>
              </w:rPr>
            </w:pPr>
            <w:r w:rsidRPr="00B23BF4">
              <w:rPr>
                <w:b/>
                <w:bCs/>
              </w:rPr>
              <w:t>Name and email address of the operational project coordinator.</w:t>
            </w:r>
          </w:p>
        </w:tc>
        <w:tc>
          <w:tcPr>
            <w:tcW w:w="6654" w:type="dxa"/>
            <w:vAlign w:val="center"/>
          </w:tcPr>
          <w:p w14:paraId="7DF83CEF" w14:textId="77777777" w:rsidR="001471B6" w:rsidRPr="001471B6" w:rsidRDefault="001471B6" w:rsidP="001471B6">
            <w:pPr>
              <w:pStyle w:val="ListParagraph"/>
              <w:numPr>
                <w:ilvl w:val="0"/>
                <w:numId w:val="42"/>
              </w:numPr>
              <w:rPr>
                <w:rFonts w:eastAsia="Arial" w:cs="Open Sans"/>
                <w:lang w:val="nl-NL"/>
              </w:rPr>
            </w:pPr>
            <w:r w:rsidRPr="001471B6">
              <w:rPr>
                <w:rFonts w:eastAsia="Arial" w:cs="Open Sans"/>
                <w:lang w:val="nl-NL"/>
              </w:rPr>
              <w:t xml:space="preserve">Malgorzata Krakowian: </w:t>
            </w:r>
            <w:hyperlink r:id="rId10">
              <w:r w:rsidRPr="001471B6">
                <w:rPr>
                  <w:rFonts w:eastAsia="Arial" w:cs="Open Sans"/>
                  <w:color w:val="EF8200"/>
                  <w:u w:val="single"/>
                  <w:lang w:val="nl-NL"/>
                </w:rPr>
                <w:t>malgorzata.krakowian@egi.eu</w:t>
              </w:r>
            </w:hyperlink>
            <w:r w:rsidRPr="001471B6">
              <w:rPr>
                <w:rFonts w:eastAsia="Arial" w:cs="Open Sans"/>
                <w:color w:val="EF8200"/>
                <w:lang w:val="nl-NL"/>
              </w:rPr>
              <w:t xml:space="preserve"> </w:t>
            </w:r>
            <w:r w:rsidRPr="001471B6">
              <w:rPr>
                <w:rFonts w:eastAsia="Arial" w:cs="Open Sans"/>
                <w:lang w:val="nl-NL"/>
              </w:rPr>
              <w:t>Project Manager</w:t>
            </w:r>
          </w:p>
          <w:p w14:paraId="3746983B" w14:textId="7690C0A5" w:rsidR="001471B6" w:rsidRPr="001471B6" w:rsidRDefault="001471B6" w:rsidP="001471B6">
            <w:pPr>
              <w:pStyle w:val="ListParagraph"/>
              <w:numPr>
                <w:ilvl w:val="0"/>
                <w:numId w:val="42"/>
              </w:numPr>
              <w:rPr>
                <w:rFonts w:eastAsia="Arial" w:cs="Open Sans"/>
              </w:rPr>
            </w:pPr>
            <w:r w:rsidRPr="001471B6">
              <w:rPr>
                <w:rFonts w:eastAsia="Arial" w:cs="Open Sans"/>
              </w:rPr>
              <w:t xml:space="preserve">Andrea Manzi: </w:t>
            </w:r>
            <w:hyperlink r:id="rId11">
              <w:r w:rsidRPr="001471B6">
                <w:rPr>
                  <w:rFonts w:eastAsia="Arial" w:cs="Open Sans"/>
                  <w:color w:val="EF8200"/>
                  <w:u w:val="single"/>
                </w:rPr>
                <w:t>andrea.manzi@egi.eu</w:t>
              </w:r>
            </w:hyperlink>
            <w:r w:rsidRPr="001471B6">
              <w:rPr>
                <w:rFonts w:eastAsia="Arial" w:cs="Open Sans"/>
              </w:rPr>
              <w:t xml:space="preserve"> </w:t>
            </w:r>
            <w:r w:rsidR="00674547">
              <w:rPr>
                <w:rFonts w:eastAsia="Arial" w:cs="Open Sans"/>
              </w:rPr>
              <w:br/>
            </w:r>
            <w:r w:rsidRPr="001471B6">
              <w:rPr>
                <w:rFonts w:eastAsia="Arial" w:cs="Open Sans"/>
              </w:rPr>
              <w:t>Technical Coordinator</w:t>
            </w:r>
          </w:p>
          <w:p w14:paraId="208B5785" w14:textId="2A3B5F9F" w:rsidR="00AA3701" w:rsidRPr="001471B6" w:rsidRDefault="001471B6" w:rsidP="001471B6">
            <w:pPr>
              <w:pStyle w:val="ListParagraph"/>
              <w:numPr>
                <w:ilvl w:val="0"/>
                <w:numId w:val="42"/>
              </w:numPr>
              <w:rPr>
                <w:rFonts w:eastAsia="Arial" w:cs="Open Sans"/>
              </w:rPr>
            </w:pPr>
            <w:r w:rsidRPr="001471B6">
              <w:rPr>
                <w:rFonts w:eastAsia="Arial" w:cs="Open Sans"/>
              </w:rPr>
              <w:t xml:space="preserve">Xavier Salazar Forn: </w:t>
            </w:r>
            <w:hyperlink r:id="rId12">
              <w:r w:rsidRPr="001471B6">
                <w:rPr>
                  <w:rFonts w:eastAsia="Arial" w:cs="Open Sans"/>
                  <w:color w:val="EF8200"/>
                  <w:u w:val="single"/>
                </w:rPr>
                <w:t>xavier.salazar@egi.eu</w:t>
              </w:r>
            </w:hyperlink>
            <w:r w:rsidRPr="001471B6">
              <w:rPr>
                <w:rFonts w:eastAsia="Arial" w:cs="Open Sans"/>
              </w:rPr>
              <w:t xml:space="preserve"> </w:t>
            </w:r>
            <w:r w:rsidR="00674547">
              <w:rPr>
                <w:rFonts w:eastAsia="Arial" w:cs="Open Sans"/>
              </w:rPr>
              <w:br/>
            </w:r>
            <w:r w:rsidRPr="001471B6">
              <w:rPr>
                <w:rFonts w:eastAsia="Arial" w:cs="Open Sans"/>
              </w:rPr>
              <w:t>Innovation Manager</w:t>
            </w:r>
          </w:p>
        </w:tc>
      </w:tr>
      <w:tr w:rsidR="00AA3701" w14:paraId="25390AF4" w14:textId="77777777" w:rsidTr="00B23BF4">
        <w:trPr>
          <w:cnfStyle w:val="000000100000" w:firstRow="0" w:lastRow="0" w:firstColumn="0" w:lastColumn="0" w:oddVBand="0" w:evenVBand="0" w:oddHBand="1" w:evenHBand="0" w:firstRowFirstColumn="0" w:firstRowLastColumn="0" w:lastRowFirstColumn="0" w:lastRowLastColumn="0"/>
          <w:cantSplit/>
        </w:trPr>
        <w:tc>
          <w:tcPr>
            <w:tcW w:w="2962" w:type="dxa"/>
            <w:vAlign w:val="center"/>
          </w:tcPr>
          <w:p w14:paraId="0F5F108C" w14:textId="41798CA9" w:rsidR="00AA3701" w:rsidRDefault="00FB4367" w:rsidP="001B4847">
            <w:pPr>
              <w:rPr>
                <w:b/>
                <w:bCs/>
                <w:lang w:val="en-US"/>
              </w:rPr>
            </w:pPr>
            <w:r w:rsidRPr="00CF53E0">
              <w:rPr>
                <w:rFonts w:cs="Open Sans"/>
                <w:b/>
                <w:bCs/>
                <w:lang w:val="en-US"/>
              </w:rPr>
              <w:t>Dissemination Level</w:t>
            </w:r>
          </w:p>
        </w:tc>
        <w:tc>
          <w:tcPr>
            <w:tcW w:w="6654" w:type="dxa"/>
            <w:vAlign w:val="center"/>
          </w:tcPr>
          <w:p w14:paraId="4D0A750B" w14:textId="2FC478D7" w:rsidR="00AA3701" w:rsidRPr="00170F54" w:rsidRDefault="00850409" w:rsidP="008E77D0">
            <w:pPr>
              <w:spacing w:before="120"/>
            </w:pPr>
            <w:r>
              <w:t>Public</w:t>
            </w:r>
          </w:p>
        </w:tc>
      </w:tr>
      <w:tr w:rsidR="00D651F6" w14:paraId="0EFE114B" w14:textId="77777777" w:rsidTr="00B23BF4">
        <w:trPr>
          <w:cnfStyle w:val="000000010000" w:firstRow="0" w:lastRow="0" w:firstColumn="0" w:lastColumn="0" w:oddVBand="0" w:evenVBand="0" w:oddHBand="0" w:evenHBand="1" w:firstRowFirstColumn="0" w:firstRowLastColumn="0" w:lastRowFirstColumn="0" w:lastRowLastColumn="0"/>
          <w:cantSplit/>
        </w:trPr>
        <w:tc>
          <w:tcPr>
            <w:tcW w:w="2962" w:type="dxa"/>
            <w:vAlign w:val="center"/>
          </w:tcPr>
          <w:p w14:paraId="35A0042C" w14:textId="5F3D399C" w:rsidR="00D651F6" w:rsidRPr="00CF53E0" w:rsidRDefault="00D651F6" w:rsidP="00D651F6">
            <w:pPr>
              <w:rPr>
                <w:rFonts w:cs="Open Sans"/>
                <w:b/>
                <w:bCs/>
                <w:lang w:val="en-US"/>
              </w:rPr>
            </w:pPr>
            <w:r w:rsidRPr="00CF53E0">
              <w:rPr>
                <w:rFonts w:cs="Open Sans"/>
                <w:b/>
                <w:bCs/>
                <w:color w:val="EF8200"/>
                <w:lang w:val="en-US"/>
              </w:rPr>
              <w:t>DOI</w:t>
            </w:r>
          </w:p>
        </w:tc>
        <w:tc>
          <w:tcPr>
            <w:tcW w:w="6654" w:type="dxa"/>
            <w:vAlign w:val="center"/>
          </w:tcPr>
          <w:p w14:paraId="56CCEF1D" w14:textId="2DF6F322" w:rsidR="00D651F6" w:rsidRDefault="00D651F6" w:rsidP="00D651F6">
            <w:pPr>
              <w:spacing w:before="120"/>
            </w:pPr>
            <w:hyperlink r:id="rId13" w:history="1">
              <w:r w:rsidR="00C52A94">
                <w:rPr>
                  <w:rFonts w:cs="Open Sans"/>
                  <w:b/>
                  <w:bCs/>
                  <w:color w:val="EF8200"/>
                  <w:u w:val="single"/>
                  <w:lang w:val="en-US"/>
                </w:rPr>
                <w:t>https://doi.org/10.5281/zenodo.10692495</w:t>
              </w:r>
            </w:hyperlink>
          </w:p>
        </w:tc>
      </w:tr>
      <w:tr w:rsidR="00D651F6" w14:paraId="44BCF174" w14:textId="77777777" w:rsidTr="00B23BF4">
        <w:trPr>
          <w:cnfStyle w:val="000000100000" w:firstRow="0" w:lastRow="0" w:firstColumn="0" w:lastColumn="0" w:oddVBand="0" w:evenVBand="0" w:oddHBand="1" w:evenHBand="0" w:firstRowFirstColumn="0" w:firstRowLastColumn="0" w:lastRowFirstColumn="0" w:lastRowLastColumn="0"/>
          <w:cantSplit/>
        </w:trPr>
        <w:tc>
          <w:tcPr>
            <w:tcW w:w="2962" w:type="dxa"/>
            <w:vAlign w:val="center"/>
          </w:tcPr>
          <w:p w14:paraId="49EBCC58" w14:textId="77777777" w:rsidR="00D651F6" w:rsidRPr="00634632" w:rsidRDefault="00D651F6" w:rsidP="00D651F6">
            <w:pPr>
              <w:rPr>
                <w:b/>
                <w:bCs/>
                <w:lang w:val="en-US"/>
              </w:rPr>
            </w:pPr>
            <w:r w:rsidRPr="00634632">
              <w:rPr>
                <w:b/>
                <w:bCs/>
                <w:lang w:val="en-US"/>
              </w:rPr>
              <w:t>Copyright Status</w:t>
            </w:r>
          </w:p>
        </w:tc>
        <w:tc>
          <w:tcPr>
            <w:tcW w:w="6654" w:type="dxa"/>
            <w:vAlign w:val="center"/>
          </w:tcPr>
          <w:p w14:paraId="760B261B" w14:textId="77777777" w:rsidR="00D651F6" w:rsidRDefault="00D651F6" w:rsidP="00D651F6">
            <w:pPr>
              <w:widowControl w:val="0"/>
            </w:pPr>
            <w:r>
              <w:rPr>
                <w:noProof/>
              </w:rPr>
              <w:drawing>
                <wp:inline distT="114300" distB="114300" distL="114300" distR="114300" wp14:anchorId="7A9B286C" wp14:editId="2D6AA1B5">
                  <wp:extent cx="1137860" cy="39811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137860" cy="398110"/>
                          </a:xfrm>
                          <a:prstGeom prst="rect">
                            <a:avLst/>
                          </a:prstGeom>
                          <a:ln/>
                        </pic:spPr>
                      </pic:pic>
                    </a:graphicData>
                  </a:graphic>
                </wp:inline>
              </w:drawing>
            </w:r>
          </w:p>
          <w:p w14:paraId="3909B6F7" w14:textId="5826C90F" w:rsidR="00D651F6" w:rsidRDefault="00D651F6" w:rsidP="00D651F6">
            <w:r>
              <w:t xml:space="preserve">This material by Parties of the interTwin Consortium is licensed under a </w:t>
            </w:r>
            <w:hyperlink r:id="rId15">
              <w:r w:rsidRPr="002A2E66">
                <w:rPr>
                  <w:color w:val="EF8200"/>
                  <w:u w:val="single"/>
                </w:rPr>
                <w:t>Creative Commons Attribution 4.0 International License</w:t>
              </w:r>
            </w:hyperlink>
            <w:r w:rsidRPr="002A2E66">
              <w:rPr>
                <w:color w:val="EF8200"/>
              </w:rPr>
              <w:t>.</w:t>
            </w:r>
          </w:p>
        </w:tc>
      </w:tr>
    </w:tbl>
    <w:p w14:paraId="3E48F88B" w14:textId="77777777" w:rsidR="00A226D2" w:rsidRDefault="00A226D2" w:rsidP="001B4847"/>
    <w:p w14:paraId="032D1615" w14:textId="77777777" w:rsidR="0032310F" w:rsidRDefault="0032310F">
      <w:pPr>
        <w:rPr>
          <w:rFonts w:ascii="Open Sans" w:hAnsi="Open Sans" w:cs="Open Sans"/>
          <w:b/>
          <w:bCs/>
          <w:color w:val="EF8200"/>
          <w:sz w:val="22"/>
          <w:szCs w:val="22"/>
        </w:rPr>
      </w:pPr>
      <w:r>
        <w:rPr>
          <w:rFonts w:ascii="Open Sans" w:hAnsi="Open Sans" w:cs="Open Sans"/>
          <w:b/>
          <w:bCs/>
          <w:color w:val="EF8200"/>
          <w:sz w:val="22"/>
          <w:szCs w:val="22"/>
        </w:rPr>
        <w:br w:type="page"/>
      </w:r>
    </w:p>
    <w:p w14:paraId="7A1151B9" w14:textId="55C9E563" w:rsidR="00735D3D" w:rsidRDefault="0032310F">
      <w:pPr>
        <w:pStyle w:val="TOC1"/>
        <w:tabs>
          <w:tab w:val="right" w:leader="dot" w:pos="9016"/>
        </w:tabs>
        <w:rPr>
          <w:rFonts w:eastAsiaTheme="minorEastAsia" w:cstheme="minorBidi"/>
          <w:b w:val="0"/>
          <w:bCs w:val="0"/>
          <w:i w:val="0"/>
          <w:iCs w:val="0"/>
          <w:noProof/>
          <w:kern w:val="2"/>
          <w:lang w:eastAsia="en-GB"/>
          <w14:ligatures w14:val="standardContextual"/>
        </w:rPr>
      </w:pPr>
      <w:r>
        <w:rPr>
          <w:rFonts w:ascii="Open Sans" w:hAnsi="Open Sans" w:cs="Open Sans"/>
          <w:b w:val="0"/>
          <w:bCs w:val="0"/>
          <w:color w:val="EF8200"/>
          <w:sz w:val="22"/>
          <w:szCs w:val="22"/>
        </w:rPr>
        <w:lastRenderedPageBreak/>
        <w:fldChar w:fldCharType="begin"/>
      </w:r>
      <w:r>
        <w:rPr>
          <w:rFonts w:ascii="Open Sans" w:hAnsi="Open Sans" w:cs="Open Sans"/>
          <w:b w:val="0"/>
          <w:bCs w:val="0"/>
          <w:color w:val="EF8200"/>
          <w:sz w:val="22"/>
          <w:szCs w:val="22"/>
        </w:rPr>
        <w:instrText xml:space="preserve"> TOC \o "1-3" \h \z \u </w:instrText>
      </w:r>
      <w:r>
        <w:rPr>
          <w:rFonts w:ascii="Open Sans" w:hAnsi="Open Sans" w:cs="Open Sans"/>
          <w:b w:val="0"/>
          <w:bCs w:val="0"/>
          <w:color w:val="EF8200"/>
          <w:sz w:val="22"/>
          <w:szCs w:val="22"/>
        </w:rPr>
        <w:fldChar w:fldCharType="separate"/>
      </w:r>
      <w:hyperlink w:anchor="_Toc158640670" w:history="1">
        <w:r w:rsidR="00735D3D" w:rsidRPr="007B6CFD">
          <w:rPr>
            <w:rStyle w:val="Hyperlink"/>
            <w:noProof/>
          </w:rPr>
          <w:t>Policy Implications and Recommendations</w:t>
        </w:r>
        <w:r w:rsidR="00735D3D">
          <w:rPr>
            <w:noProof/>
            <w:webHidden/>
          </w:rPr>
          <w:tab/>
        </w:r>
        <w:r w:rsidR="00735D3D">
          <w:rPr>
            <w:noProof/>
            <w:webHidden/>
          </w:rPr>
          <w:fldChar w:fldCharType="begin"/>
        </w:r>
        <w:r w:rsidR="00735D3D">
          <w:rPr>
            <w:noProof/>
            <w:webHidden/>
          </w:rPr>
          <w:instrText xml:space="preserve"> PAGEREF _Toc158640670 \h </w:instrText>
        </w:r>
        <w:r w:rsidR="00735D3D">
          <w:rPr>
            <w:noProof/>
            <w:webHidden/>
          </w:rPr>
        </w:r>
        <w:r w:rsidR="00735D3D">
          <w:rPr>
            <w:noProof/>
            <w:webHidden/>
          </w:rPr>
          <w:fldChar w:fldCharType="separate"/>
        </w:r>
        <w:r w:rsidR="0061790B">
          <w:rPr>
            <w:noProof/>
            <w:webHidden/>
          </w:rPr>
          <w:t>4</w:t>
        </w:r>
        <w:r w:rsidR="00735D3D">
          <w:rPr>
            <w:noProof/>
            <w:webHidden/>
          </w:rPr>
          <w:fldChar w:fldCharType="end"/>
        </w:r>
      </w:hyperlink>
    </w:p>
    <w:p w14:paraId="057914E1" w14:textId="0F432650" w:rsidR="00735D3D" w:rsidRDefault="00000000">
      <w:pPr>
        <w:pStyle w:val="TOC2"/>
        <w:tabs>
          <w:tab w:val="right" w:leader="dot" w:pos="9016"/>
        </w:tabs>
        <w:rPr>
          <w:rFonts w:eastAsiaTheme="minorEastAsia" w:cstheme="minorBidi"/>
          <w:b w:val="0"/>
          <w:bCs w:val="0"/>
          <w:noProof/>
          <w:kern w:val="2"/>
          <w:sz w:val="24"/>
          <w:szCs w:val="24"/>
          <w:lang w:eastAsia="en-GB"/>
          <w14:ligatures w14:val="standardContextual"/>
        </w:rPr>
      </w:pPr>
      <w:hyperlink w:anchor="_Toc158640671" w:history="1">
        <w:r w:rsidR="00735D3D" w:rsidRPr="007B6CFD">
          <w:rPr>
            <w:rStyle w:val="Hyperlink"/>
            <w:rFonts w:eastAsia="Arial"/>
            <w:noProof/>
          </w:rPr>
          <w:t>Implementation of research infrastructures</w:t>
        </w:r>
        <w:r w:rsidR="00735D3D">
          <w:rPr>
            <w:noProof/>
            <w:webHidden/>
          </w:rPr>
          <w:tab/>
        </w:r>
        <w:r w:rsidR="00735D3D">
          <w:rPr>
            <w:noProof/>
            <w:webHidden/>
          </w:rPr>
          <w:fldChar w:fldCharType="begin"/>
        </w:r>
        <w:r w:rsidR="00735D3D">
          <w:rPr>
            <w:noProof/>
            <w:webHidden/>
          </w:rPr>
          <w:instrText xml:space="preserve"> PAGEREF _Toc158640671 \h </w:instrText>
        </w:r>
        <w:r w:rsidR="00735D3D">
          <w:rPr>
            <w:noProof/>
            <w:webHidden/>
          </w:rPr>
        </w:r>
        <w:r w:rsidR="00735D3D">
          <w:rPr>
            <w:noProof/>
            <w:webHidden/>
          </w:rPr>
          <w:fldChar w:fldCharType="separate"/>
        </w:r>
        <w:r w:rsidR="0061790B">
          <w:rPr>
            <w:noProof/>
            <w:webHidden/>
          </w:rPr>
          <w:t>4</w:t>
        </w:r>
        <w:r w:rsidR="00735D3D">
          <w:rPr>
            <w:noProof/>
            <w:webHidden/>
          </w:rPr>
          <w:fldChar w:fldCharType="end"/>
        </w:r>
      </w:hyperlink>
    </w:p>
    <w:p w14:paraId="1122BA28" w14:textId="07C9513F" w:rsidR="00735D3D" w:rsidRDefault="00000000">
      <w:pPr>
        <w:pStyle w:val="TOC2"/>
        <w:tabs>
          <w:tab w:val="right" w:leader="dot" w:pos="9016"/>
        </w:tabs>
        <w:rPr>
          <w:rFonts w:eastAsiaTheme="minorEastAsia" w:cstheme="minorBidi"/>
          <w:b w:val="0"/>
          <w:bCs w:val="0"/>
          <w:noProof/>
          <w:kern w:val="2"/>
          <w:sz w:val="24"/>
          <w:szCs w:val="24"/>
          <w:lang w:eastAsia="en-GB"/>
          <w14:ligatures w14:val="standardContextual"/>
        </w:rPr>
      </w:pPr>
      <w:hyperlink w:anchor="_Toc158640672" w:history="1">
        <w:r w:rsidR="00735D3D" w:rsidRPr="007B6CFD">
          <w:rPr>
            <w:rStyle w:val="Hyperlink"/>
            <w:rFonts w:eastAsia="Arial"/>
            <w:noProof/>
          </w:rPr>
          <w:t>Access to research infrastructures.</w:t>
        </w:r>
        <w:r w:rsidR="00735D3D">
          <w:rPr>
            <w:noProof/>
            <w:webHidden/>
          </w:rPr>
          <w:tab/>
        </w:r>
        <w:r w:rsidR="00735D3D">
          <w:rPr>
            <w:noProof/>
            <w:webHidden/>
          </w:rPr>
          <w:fldChar w:fldCharType="begin"/>
        </w:r>
        <w:r w:rsidR="00735D3D">
          <w:rPr>
            <w:noProof/>
            <w:webHidden/>
          </w:rPr>
          <w:instrText xml:space="preserve"> PAGEREF _Toc158640672 \h </w:instrText>
        </w:r>
        <w:r w:rsidR="00735D3D">
          <w:rPr>
            <w:noProof/>
            <w:webHidden/>
          </w:rPr>
        </w:r>
        <w:r w:rsidR="00735D3D">
          <w:rPr>
            <w:noProof/>
            <w:webHidden/>
          </w:rPr>
          <w:fldChar w:fldCharType="separate"/>
        </w:r>
        <w:r w:rsidR="0061790B">
          <w:rPr>
            <w:noProof/>
            <w:webHidden/>
          </w:rPr>
          <w:t>4</w:t>
        </w:r>
        <w:r w:rsidR="00735D3D">
          <w:rPr>
            <w:noProof/>
            <w:webHidden/>
          </w:rPr>
          <w:fldChar w:fldCharType="end"/>
        </w:r>
      </w:hyperlink>
    </w:p>
    <w:p w14:paraId="7C4C4FC4" w14:textId="67D45489" w:rsidR="00735D3D" w:rsidRDefault="00000000">
      <w:pPr>
        <w:pStyle w:val="TOC2"/>
        <w:tabs>
          <w:tab w:val="right" w:leader="dot" w:pos="9016"/>
        </w:tabs>
        <w:rPr>
          <w:rFonts w:eastAsiaTheme="minorEastAsia" w:cstheme="minorBidi"/>
          <w:b w:val="0"/>
          <w:bCs w:val="0"/>
          <w:noProof/>
          <w:kern w:val="2"/>
          <w:sz w:val="24"/>
          <w:szCs w:val="24"/>
          <w:lang w:eastAsia="en-GB"/>
          <w14:ligatures w14:val="standardContextual"/>
        </w:rPr>
      </w:pPr>
      <w:hyperlink w:anchor="_Toc158640673" w:history="1">
        <w:r w:rsidR="00735D3D" w:rsidRPr="007B6CFD">
          <w:rPr>
            <w:rStyle w:val="Hyperlink"/>
            <w:rFonts w:eastAsia="Arial"/>
            <w:noProof/>
          </w:rPr>
          <w:t>Funding of research infrastructures.</w:t>
        </w:r>
        <w:r w:rsidR="00735D3D">
          <w:rPr>
            <w:noProof/>
            <w:webHidden/>
          </w:rPr>
          <w:tab/>
        </w:r>
        <w:r w:rsidR="00735D3D">
          <w:rPr>
            <w:noProof/>
            <w:webHidden/>
          </w:rPr>
          <w:fldChar w:fldCharType="begin"/>
        </w:r>
        <w:r w:rsidR="00735D3D">
          <w:rPr>
            <w:noProof/>
            <w:webHidden/>
          </w:rPr>
          <w:instrText xml:space="preserve"> PAGEREF _Toc158640673 \h </w:instrText>
        </w:r>
        <w:r w:rsidR="00735D3D">
          <w:rPr>
            <w:noProof/>
            <w:webHidden/>
          </w:rPr>
        </w:r>
        <w:r w:rsidR="00735D3D">
          <w:rPr>
            <w:noProof/>
            <w:webHidden/>
          </w:rPr>
          <w:fldChar w:fldCharType="separate"/>
        </w:r>
        <w:r w:rsidR="0061790B">
          <w:rPr>
            <w:noProof/>
            <w:webHidden/>
          </w:rPr>
          <w:t>4</w:t>
        </w:r>
        <w:r w:rsidR="00735D3D">
          <w:rPr>
            <w:noProof/>
            <w:webHidden/>
          </w:rPr>
          <w:fldChar w:fldCharType="end"/>
        </w:r>
      </w:hyperlink>
    </w:p>
    <w:p w14:paraId="169D1E19" w14:textId="5E9B00E3" w:rsidR="00735D3D" w:rsidRDefault="00000000">
      <w:pPr>
        <w:pStyle w:val="TOC2"/>
        <w:tabs>
          <w:tab w:val="right" w:leader="dot" w:pos="9016"/>
        </w:tabs>
        <w:rPr>
          <w:rFonts w:eastAsiaTheme="minorEastAsia" w:cstheme="minorBidi"/>
          <w:b w:val="0"/>
          <w:bCs w:val="0"/>
          <w:noProof/>
          <w:kern w:val="2"/>
          <w:sz w:val="24"/>
          <w:szCs w:val="24"/>
          <w:lang w:eastAsia="en-GB"/>
          <w14:ligatures w14:val="standardContextual"/>
        </w:rPr>
      </w:pPr>
      <w:hyperlink w:anchor="_Toc158640674" w:history="1">
        <w:r w:rsidR="00735D3D" w:rsidRPr="007B6CFD">
          <w:rPr>
            <w:rStyle w:val="Hyperlink"/>
            <w:rFonts w:eastAsia="Arial"/>
            <w:noProof/>
          </w:rPr>
          <w:t>International co-operation of research infrastructures</w:t>
        </w:r>
        <w:r w:rsidR="00735D3D">
          <w:rPr>
            <w:noProof/>
            <w:webHidden/>
          </w:rPr>
          <w:tab/>
        </w:r>
        <w:r w:rsidR="00735D3D">
          <w:rPr>
            <w:noProof/>
            <w:webHidden/>
          </w:rPr>
          <w:fldChar w:fldCharType="begin"/>
        </w:r>
        <w:r w:rsidR="00735D3D">
          <w:rPr>
            <w:noProof/>
            <w:webHidden/>
          </w:rPr>
          <w:instrText xml:space="preserve"> PAGEREF _Toc158640674 \h </w:instrText>
        </w:r>
        <w:r w:rsidR="00735D3D">
          <w:rPr>
            <w:noProof/>
            <w:webHidden/>
          </w:rPr>
        </w:r>
        <w:r w:rsidR="00735D3D">
          <w:rPr>
            <w:noProof/>
            <w:webHidden/>
          </w:rPr>
          <w:fldChar w:fldCharType="separate"/>
        </w:r>
        <w:r w:rsidR="0061790B">
          <w:rPr>
            <w:noProof/>
            <w:webHidden/>
          </w:rPr>
          <w:t>5</w:t>
        </w:r>
        <w:r w:rsidR="00735D3D">
          <w:rPr>
            <w:noProof/>
            <w:webHidden/>
          </w:rPr>
          <w:fldChar w:fldCharType="end"/>
        </w:r>
      </w:hyperlink>
    </w:p>
    <w:p w14:paraId="24985D5B" w14:textId="26788B80" w:rsidR="00735D3D" w:rsidRDefault="00000000">
      <w:pPr>
        <w:pStyle w:val="TOC2"/>
        <w:tabs>
          <w:tab w:val="right" w:leader="dot" w:pos="9016"/>
        </w:tabs>
        <w:rPr>
          <w:rFonts w:eastAsiaTheme="minorEastAsia" w:cstheme="minorBidi"/>
          <w:b w:val="0"/>
          <w:bCs w:val="0"/>
          <w:noProof/>
          <w:kern w:val="2"/>
          <w:sz w:val="24"/>
          <w:szCs w:val="24"/>
          <w:lang w:eastAsia="en-GB"/>
          <w14:ligatures w14:val="standardContextual"/>
        </w:rPr>
      </w:pPr>
      <w:hyperlink w:anchor="_Toc158640675" w:history="1">
        <w:r w:rsidR="00735D3D" w:rsidRPr="007B6CFD">
          <w:rPr>
            <w:rStyle w:val="Hyperlink"/>
            <w:rFonts w:eastAsia="Arial"/>
            <w:noProof/>
          </w:rPr>
          <w:t>Employment and skills in research infrastructures.</w:t>
        </w:r>
        <w:r w:rsidR="00735D3D">
          <w:rPr>
            <w:noProof/>
            <w:webHidden/>
          </w:rPr>
          <w:tab/>
        </w:r>
        <w:r w:rsidR="00735D3D">
          <w:rPr>
            <w:noProof/>
            <w:webHidden/>
          </w:rPr>
          <w:fldChar w:fldCharType="begin"/>
        </w:r>
        <w:r w:rsidR="00735D3D">
          <w:rPr>
            <w:noProof/>
            <w:webHidden/>
          </w:rPr>
          <w:instrText xml:space="preserve"> PAGEREF _Toc158640675 \h </w:instrText>
        </w:r>
        <w:r w:rsidR="00735D3D">
          <w:rPr>
            <w:noProof/>
            <w:webHidden/>
          </w:rPr>
        </w:r>
        <w:r w:rsidR="00735D3D">
          <w:rPr>
            <w:noProof/>
            <w:webHidden/>
          </w:rPr>
          <w:fldChar w:fldCharType="separate"/>
        </w:r>
        <w:r w:rsidR="0061790B">
          <w:rPr>
            <w:noProof/>
            <w:webHidden/>
          </w:rPr>
          <w:t>5</w:t>
        </w:r>
        <w:r w:rsidR="00735D3D">
          <w:rPr>
            <w:noProof/>
            <w:webHidden/>
          </w:rPr>
          <w:fldChar w:fldCharType="end"/>
        </w:r>
      </w:hyperlink>
    </w:p>
    <w:p w14:paraId="04422F59" w14:textId="1E8FED86" w:rsidR="00735D3D" w:rsidRDefault="00000000">
      <w:pPr>
        <w:pStyle w:val="TOC2"/>
        <w:tabs>
          <w:tab w:val="right" w:leader="dot" w:pos="9016"/>
        </w:tabs>
        <w:rPr>
          <w:rFonts w:eastAsiaTheme="minorEastAsia" w:cstheme="minorBidi"/>
          <w:b w:val="0"/>
          <w:bCs w:val="0"/>
          <w:noProof/>
          <w:kern w:val="2"/>
          <w:sz w:val="24"/>
          <w:szCs w:val="24"/>
          <w:lang w:eastAsia="en-GB"/>
          <w14:ligatures w14:val="standardContextual"/>
        </w:rPr>
      </w:pPr>
      <w:hyperlink w:anchor="_Toc158640676" w:history="1">
        <w:r w:rsidR="00735D3D" w:rsidRPr="007B6CFD">
          <w:rPr>
            <w:rStyle w:val="Hyperlink"/>
            <w:rFonts w:eastAsia="Arial"/>
            <w:noProof/>
          </w:rPr>
          <w:t>Greening of research infrastructures</w:t>
        </w:r>
        <w:r w:rsidR="00735D3D">
          <w:rPr>
            <w:noProof/>
            <w:webHidden/>
          </w:rPr>
          <w:tab/>
        </w:r>
        <w:r w:rsidR="00735D3D">
          <w:rPr>
            <w:noProof/>
            <w:webHidden/>
          </w:rPr>
          <w:fldChar w:fldCharType="begin"/>
        </w:r>
        <w:r w:rsidR="00735D3D">
          <w:rPr>
            <w:noProof/>
            <w:webHidden/>
          </w:rPr>
          <w:instrText xml:space="preserve"> PAGEREF _Toc158640676 \h </w:instrText>
        </w:r>
        <w:r w:rsidR="00735D3D">
          <w:rPr>
            <w:noProof/>
            <w:webHidden/>
          </w:rPr>
        </w:r>
        <w:r w:rsidR="00735D3D">
          <w:rPr>
            <w:noProof/>
            <w:webHidden/>
          </w:rPr>
          <w:fldChar w:fldCharType="separate"/>
        </w:r>
        <w:r w:rsidR="0061790B">
          <w:rPr>
            <w:noProof/>
            <w:webHidden/>
          </w:rPr>
          <w:t>5</w:t>
        </w:r>
        <w:r w:rsidR="00735D3D">
          <w:rPr>
            <w:noProof/>
            <w:webHidden/>
          </w:rPr>
          <w:fldChar w:fldCharType="end"/>
        </w:r>
      </w:hyperlink>
    </w:p>
    <w:p w14:paraId="7A1F2127" w14:textId="67B10CAF" w:rsidR="00735D3D" w:rsidRDefault="00000000">
      <w:pPr>
        <w:pStyle w:val="TOC2"/>
        <w:tabs>
          <w:tab w:val="right" w:leader="dot" w:pos="9016"/>
        </w:tabs>
        <w:rPr>
          <w:rFonts w:eastAsiaTheme="minorEastAsia" w:cstheme="minorBidi"/>
          <w:b w:val="0"/>
          <w:bCs w:val="0"/>
          <w:noProof/>
          <w:kern w:val="2"/>
          <w:sz w:val="24"/>
          <w:szCs w:val="24"/>
          <w:lang w:eastAsia="en-GB"/>
          <w14:ligatures w14:val="standardContextual"/>
        </w:rPr>
      </w:pPr>
      <w:hyperlink w:anchor="_Toc158640677" w:history="1">
        <w:r w:rsidR="00735D3D" w:rsidRPr="007B6CFD">
          <w:rPr>
            <w:rStyle w:val="Hyperlink"/>
            <w:rFonts w:eastAsia="Arial"/>
            <w:noProof/>
          </w:rPr>
          <w:t>Interaction of research infrastructures with industry.</w:t>
        </w:r>
        <w:r w:rsidR="00735D3D">
          <w:rPr>
            <w:noProof/>
            <w:webHidden/>
          </w:rPr>
          <w:tab/>
        </w:r>
        <w:r w:rsidR="00735D3D">
          <w:rPr>
            <w:noProof/>
            <w:webHidden/>
          </w:rPr>
          <w:fldChar w:fldCharType="begin"/>
        </w:r>
        <w:r w:rsidR="00735D3D">
          <w:rPr>
            <w:noProof/>
            <w:webHidden/>
          </w:rPr>
          <w:instrText xml:space="preserve"> PAGEREF _Toc158640677 \h </w:instrText>
        </w:r>
        <w:r w:rsidR="00735D3D">
          <w:rPr>
            <w:noProof/>
            <w:webHidden/>
          </w:rPr>
        </w:r>
        <w:r w:rsidR="00735D3D">
          <w:rPr>
            <w:noProof/>
            <w:webHidden/>
          </w:rPr>
          <w:fldChar w:fldCharType="separate"/>
        </w:r>
        <w:r w:rsidR="0061790B">
          <w:rPr>
            <w:noProof/>
            <w:webHidden/>
          </w:rPr>
          <w:t>6</w:t>
        </w:r>
        <w:r w:rsidR="00735D3D">
          <w:rPr>
            <w:noProof/>
            <w:webHidden/>
          </w:rPr>
          <w:fldChar w:fldCharType="end"/>
        </w:r>
      </w:hyperlink>
    </w:p>
    <w:p w14:paraId="1747BB5F" w14:textId="5C352231" w:rsidR="00735D3D" w:rsidRDefault="00000000">
      <w:pPr>
        <w:pStyle w:val="TOC2"/>
        <w:tabs>
          <w:tab w:val="right" w:leader="dot" w:pos="9016"/>
        </w:tabs>
        <w:rPr>
          <w:rFonts w:eastAsiaTheme="minorEastAsia" w:cstheme="minorBidi"/>
          <w:b w:val="0"/>
          <w:bCs w:val="0"/>
          <w:noProof/>
          <w:kern w:val="2"/>
          <w:sz w:val="24"/>
          <w:szCs w:val="24"/>
          <w:lang w:eastAsia="en-GB"/>
          <w14:ligatures w14:val="standardContextual"/>
        </w:rPr>
      </w:pPr>
      <w:hyperlink w:anchor="_Toc158640678" w:history="1">
        <w:r w:rsidR="00735D3D" w:rsidRPr="007B6CFD">
          <w:rPr>
            <w:rStyle w:val="Hyperlink"/>
            <w:rFonts w:eastAsia="Arial"/>
            <w:noProof/>
          </w:rPr>
          <w:t>ERIC legal framework.</w:t>
        </w:r>
        <w:r w:rsidR="00735D3D">
          <w:rPr>
            <w:noProof/>
            <w:webHidden/>
          </w:rPr>
          <w:tab/>
        </w:r>
        <w:r w:rsidR="00735D3D">
          <w:rPr>
            <w:noProof/>
            <w:webHidden/>
          </w:rPr>
          <w:fldChar w:fldCharType="begin"/>
        </w:r>
        <w:r w:rsidR="00735D3D">
          <w:rPr>
            <w:noProof/>
            <w:webHidden/>
          </w:rPr>
          <w:instrText xml:space="preserve"> PAGEREF _Toc158640678 \h </w:instrText>
        </w:r>
        <w:r w:rsidR="00735D3D">
          <w:rPr>
            <w:noProof/>
            <w:webHidden/>
          </w:rPr>
        </w:r>
        <w:r w:rsidR="00735D3D">
          <w:rPr>
            <w:noProof/>
            <w:webHidden/>
          </w:rPr>
          <w:fldChar w:fldCharType="separate"/>
        </w:r>
        <w:r w:rsidR="0061790B">
          <w:rPr>
            <w:noProof/>
            <w:webHidden/>
          </w:rPr>
          <w:t>6</w:t>
        </w:r>
        <w:r w:rsidR="00735D3D">
          <w:rPr>
            <w:noProof/>
            <w:webHidden/>
          </w:rPr>
          <w:fldChar w:fldCharType="end"/>
        </w:r>
      </w:hyperlink>
    </w:p>
    <w:p w14:paraId="35EBFC10" w14:textId="7019D2A9" w:rsidR="00735D3D" w:rsidRDefault="00000000">
      <w:pPr>
        <w:pStyle w:val="TOC2"/>
        <w:tabs>
          <w:tab w:val="right" w:leader="dot" w:pos="9016"/>
        </w:tabs>
        <w:rPr>
          <w:rFonts w:eastAsiaTheme="minorEastAsia" w:cstheme="minorBidi"/>
          <w:b w:val="0"/>
          <w:bCs w:val="0"/>
          <w:noProof/>
          <w:kern w:val="2"/>
          <w:sz w:val="24"/>
          <w:szCs w:val="24"/>
          <w:lang w:eastAsia="en-GB"/>
          <w14:ligatures w14:val="standardContextual"/>
        </w:rPr>
      </w:pPr>
      <w:hyperlink w:anchor="_Toc158640679" w:history="1">
        <w:r w:rsidR="00735D3D" w:rsidRPr="007B6CFD">
          <w:rPr>
            <w:rStyle w:val="Hyperlink"/>
            <w:rFonts w:eastAsia="Arial"/>
            <w:noProof/>
          </w:rPr>
          <w:t>Technology development, data and digital services, digitalisation.</w:t>
        </w:r>
        <w:r w:rsidR="00735D3D">
          <w:rPr>
            <w:noProof/>
            <w:webHidden/>
          </w:rPr>
          <w:tab/>
        </w:r>
        <w:r w:rsidR="00735D3D">
          <w:rPr>
            <w:noProof/>
            <w:webHidden/>
          </w:rPr>
          <w:fldChar w:fldCharType="begin"/>
        </w:r>
        <w:r w:rsidR="00735D3D">
          <w:rPr>
            <w:noProof/>
            <w:webHidden/>
          </w:rPr>
          <w:instrText xml:space="preserve"> PAGEREF _Toc158640679 \h </w:instrText>
        </w:r>
        <w:r w:rsidR="00735D3D">
          <w:rPr>
            <w:noProof/>
            <w:webHidden/>
          </w:rPr>
        </w:r>
        <w:r w:rsidR="00735D3D">
          <w:rPr>
            <w:noProof/>
            <w:webHidden/>
          </w:rPr>
          <w:fldChar w:fldCharType="separate"/>
        </w:r>
        <w:r w:rsidR="0061790B">
          <w:rPr>
            <w:noProof/>
            <w:webHidden/>
          </w:rPr>
          <w:t>6</w:t>
        </w:r>
        <w:r w:rsidR="00735D3D">
          <w:rPr>
            <w:noProof/>
            <w:webHidden/>
          </w:rPr>
          <w:fldChar w:fldCharType="end"/>
        </w:r>
      </w:hyperlink>
    </w:p>
    <w:p w14:paraId="3931AF68" w14:textId="67257132" w:rsidR="00735D3D" w:rsidRDefault="00000000">
      <w:pPr>
        <w:pStyle w:val="TOC2"/>
        <w:tabs>
          <w:tab w:val="right" w:leader="dot" w:pos="9016"/>
        </w:tabs>
        <w:rPr>
          <w:rFonts w:eastAsiaTheme="minorEastAsia" w:cstheme="minorBidi"/>
          <w:b w:val="0"/>
          <w:bCs w:val="0"/>
          <w:noProof/>
          <w:kern w:val="2"/>
          <w:sz w:val="24"/>
          <w:szCs w:val="24"/>
          <w:lang w:eastAsia="en-GB"/>
          <w14:ligatures w14:val="standardContextual"/>
        </w:rPr>
      </w:pPr>
      <w:hyperlink w:anchor="_Toc158640680" w:history="1">
        <w:r w:rsidR="00735D3D" w:rsidRPr="007B6CFD">
          <w:rPr>
            <w:rStyle w:val="Hyperlink"/>
            <w:rFonts w:eastAsia="Arial"/>
            <w:noProof/>
          </w:rPr>
          <w:t>Level of connection of your RI to EOSC.</w:t>
        </w:r>
        <w:r w:rsidR="00735D3D">
          <w:rPr>
            <w:noProof/>
            <w:webHidden/>
          </w:rPr>
          <w:tab/>
        </w:r>
        <w:r w:rsidR="00735D3D">
          <w:rPr>
            <w:noProof/>
            <w:webHidden/>
          </w:rPr>
          <w:fldChar w:fldCharType="begin"/>
        </w:r>
        <w:r w:rsidR="00735D3D">
          <w:rPr>
            <w:noProof/>
            <w:webHidden/>
          </w:rPr>
          <w:instrText xml:space="preserve"> PAGEREF _Toc158640680 \h </w:instrText>
        </w:r>
        <w:r w:rsidR="00735D3D">
          <w:rPr>
            <w:noProof/>
            <w:webHidden/>
          </w:rPr>
        </w:r>
        <w:r w:rsidR="00735D3D">
          <w:rPr>
            <w:noProof/>
            <w:webHidden/>
          </w:rPr>
          <w:fldChar w:fldCharType="separate"/>
        </w:r>
        <w:r w:rsidR="0061790B">
          <w:rPr>
            <w:noProof/>
            <w:webHidden/>
          </w:rPr>
          <w:t>7</w:t>
        </w:r>
        <w:r w:rsidR="00735D3D">
          <w:rPr>
            <w:noProof/>
            <w:webHidden/>
          </w:rPr>
          <w:fldChar w:fldCharType="end"/>
        </w:r>
      </w:hyperlink>
    </w:p>
    <w:p w14:paraId="4222E819" w14:textId="66FD4167" w:rsidR="00735D3D" w:rsidRDefault="00000000">
      <w:pPr>
        <w:pStyle w:val="TOC2"/>
        <w:tabs>
          <w:tab w:val="right" w:leader="dot" w:pos="9016"/>
        </w:tabs>
        <w:rPr>
          <w:rFonts w:eastAsiaTheme="minorEastAsia" w:cstheme="minorBidi"/>
          <w:b w:val="0"/>
          <w:bCs w:val="0"/>
          <w:noProof/>
          <w:kern w:val="2"/>
          <w:sz w:val="24"/>
          <w:szCs w:val="24"/>
          <w:lang w:eastAsia="en-GB"/>
          <w14:ligatures w14:val="standardContextual"/>
        </w:rPr>
      </w:pPr>
      <w:hyperlink w:anchor="_Toc158640681" w:history="1">
        <w:r w:rsidR="00735D3D" w:rsidRPr="007B6CFD">
          <w:rPr>
            <w:rStyle w:val="Hyperlink"/>
            <w:rFonts w:eastAsia="Arial"/>
            <w:noProof/>
          </w:rPr>
          <w:t>Contribution to other research areas and to broader EU priorities.</w:t>
        </w:r>
        <w:r w:rsidR="00735D3D">
          <w:rPr>
            <w:noProof/>
            <w:webHidden/>
          </w:rPr>
          <w:tab/>
        </w:r>
        <w:r w:rsidR="00735D3D">
          <w:rPr>
            <w:noProof/>
            <w:webHidden/>
          </w:rPr>
          <w:fldChar w:fldCharType="begin"/>
        </w:r>
        <w:r w:rsidR="00735D3D">
          <w:rPr>
            <w:noProof/>
            <w:webHidden/>
          </w:rPr>
          <w:instrText xml:space="preserve"> PAGEREF _Toc158640681 \h </w:instrText>
        </w:r>
        <w:r w:rsidR="00735D3D">
          <w:rPr>
            <w:noProof/>
            <w:webHidden/>
          </w:rPr>
        </w:r>
        <w:r w:rsidR="00735D3D">
          <w:rPr>
            <w:noProof/>
            <w:webHidden/>
          </w:rPr>
          <w:fldChar w:fldCharType="separate"/>
        </w:r>
        <w:r w:rsidR="0061790B">
          <w:rPr>
            <w:noProof/>
            <w:webHidden/>
          </w:rPr>
          <w:t>7</w:t>
        </w:r>
        <w:r w:rsidR="00735D3D">
          <w:rPr>
            <w:noProof/>
            <w:webHidden/>
          </w:rPr>
          <w:fldChar w:fldCharType="end"/>
        </w:r>
      </w:hyperlink>
    </w:p>
    <w:p w14:paraId="502ECD37" w14:textId="7FC57894" w:rsidR="00735D3D" w:rsidRDefault="00000000">
      <w:pPr>
        <w:pStyle w:val="TOC2"/>
        <w:tabs>
          <w:tab w:val="right" w:leader="dot" w:pos="9016"/>
        </w:tabs>
        <w:rPr>
          <w:rFonts w:eastAsiaTheme="minorEastAsia" w:cstheme="minorBidi"/>
          <w:b w:val="0"/>
          <w:bCs w:val="0"/>
          <w:noProof/>
          <w:kern w:val="2"/>
          <w:sz w:val="24"/>
          <w:szCs w:val="24"/>
          <w:lang w:eastAsia="en-GB"/>
          <w14:ligatures w14:val="standardContextual"/>
        </w:rPr>
      </w:pPr>
      <w:hyperlink w:anchor="_Toc158640682" w:history="1">
        <w:r w:rsidR="00735D3D" w:rsidRPr="007B6CFD">
          <w:rPr>
            <w:rStyle w:val="Hyperlink"/>
            <w:rFonts w:eastAsia="Arial"/>
            <w:noProof/>
          </w:rPr>
          <w:t>Sustainability of research infrastructures.</w:t>
        </w:r>
        <w:r w:rsidR="00735D3D">
          <w:rPr>
            <w:noProof/>
            <w:webHidden/>
          </w:rPr>
          <w:tab/>
        </w:r>
        <w:r w:rsidR="00735D3D">
          <w:rPr>
            <w:noProof/>
            <w:webHidden/>
          </w:rPr>
          <w:fldChar w:fldCharType="begin"/>
        </w:r>
        <w:r w:rsidR="00735D3D">
          <w:rPr>
            <w:noProof/>
            <w:webHidden/>
          </w:rPr>
          <w:instrText xml:space="preserve"> PAGEREF _Toc158640682 \h </w:instrText>
        </w:r>
        <w:r w:rsidR="00735D3D">
          <w:rPr>
            <w:noProof/>
            <w:webHidden/>
          </w:rPr>
        </w:r>
        <w:r w:rsidR="00735D3D">
          <w:rPr>
            <w:noProof/>
            <w:webHidden/>
          </w:rPr>
          <w:fldChar w:fldCharType="separate"/>
        </w:r>
        <w:r w:rsidR="0061790B">
          <w:rPr>
            <w:noProof/>
            <w:webHidden/>
          </w:rPr>
          <w:t>7</w:t>
        </w:r>
        <w:r w:rsidR="00735D3D">
          <w:rPr>
            <w:noProof/>
            <w:webHidden/>
          </w:rPr>
          <w:fldChar w:fldCharType="end"/>
        </w:r>
      </w:hyperlink>
    </w:p>
    <w:p w14:paraId="524B6067" w14:textId="2E83916C" w:rsidR="00634F4A" w:rsidRPr="00087506" w:rsidRDefault="0032310F">
      <w:r>
        <w:rPr>
          <w:rFonts w:ascii="Open Sans" w:hAnsi="Open Sans" w:cs="Open Sans"/>
          <w:b/>
          <w:bCs/>
          <w:color w:val="EF8200"/>
          <w:sz w:val="22"/>
          <w:szCs w:val="22"/>
        </w:rPr>
        <w:fldChar w:fldCharType="end"/>
      </w:r>
      <w:r w:rsidR="00634F4A">
        <w:rPr>
          <w:rFonts w:ascii="Open Sans" w:hAnsi="Open Sans" w:cs="Open Sans"/>
          <w:b/>
          <w:bCs/>
          <w:color w:val="EF8200"/>
          <w:sz w:val="22"/>
          <w:szCs w:val="22"/>
        </w:rPr>
        <w:br w:type="page"/>
      </w:r>
    </w:p>
    <w:p w14:paraId="30BE2044" w14:textId="2C967A3F" w:rsidR="006321B7" w:rsidRPr="00735D3D" w:rsidRDefault="00C30FBD" w:rsidP="00735D3D">
      <w:pPr>
        <w:pStyle w:val="Heading1"/>
        <w:numPr>
          <w:ilvl w:val="0"/>
          <w:numId w:val="0"/>
        </w:numPr>
        <w:rPr>
          <w:sz w:val="40"/>
          <w:szCs w:val="28"/>
        </w:rPr>
      </w:pPr>
      <w:bookmarkStart w:id="2" w:name="_Toc158640670"/>
      <w:r w:rsidRPr="00735D3D">
        <w:rPr>
          <w:sz w:val="40"/>
          <w:szCs w:val="28"/>
        </w:rPr>
        <w:lastRenderedPageBreak/>
        <w:t>Policy Implications and</w:t>
      </w:r>
      <w:r w:rsidR="00735D3D" w:rsidRPr="00735D3D">
        <w:rPr>
          <w:sz w:val="40"/>
          <w:szCs w:val="28"/>
        </w:rPr>
        <w:t xml:space="preserve"> </w:t>
      </w:r>
      <w:r w:rsidRPr="00735D3D">
        <w:rPr>
          <w:sz w:val="40"/>
          <w:szCs w:val="28"/>
        </w:rPr>
        <w:t>Recommendations</w:t>
      </w:r>
      <w:bookmarkEnd w:id="2"/>
    </w:p>
    <w:p w14:paraId="355F745E" w14:textId="6633CC82" w:rsidR="00C30FBD" w:rsidRPr="002A2E66" w:rsidRDefault="00DB3900" w:rsidP="002A2E66">
      <w:pPr>
        <w:pStyle w:val="Heading2"/>
        <w:numPr>
          <w:ilvl w:val="0"/>
          <w:numId w:val="0"/>
        </w:numPr>
        <w:rPr>
          <w:rFonts w:eastAsia="Arial"/>
        </w:rPr>
      </w:pPr>
      <w:bookmarkStart w:id="3" w:name="_Toc158640671"/>
      <w:r w:rsidRPr="002A2E66">
        <w:rPr>
          <w:rFonts w:eastAsia="Arial"/>
        </w:rPr>
        <w:t>Implementation of research infrastructures</w:t>
      </w:r>
      <w:bookmarkEnd w:id="3"/>
    </w:p>
    <w:p w14:paraId="58772B43" w14:textId="19FBA0E3" w:rsidR="002A2E66" w:rsidRPr="002A2E66" w:rsidRDefault="002A2E66" w:rsidP="00E21C4A">
      <w:pPr>
        <w:pBdr>
          <w:top w:val="nil"/>
          <w:left w:val="nil"/>
          <w:bottom w:val="nil"/>
          <w:right w:val="nil"/>
          <w:between w:val="nil"/>
        </w:pBdr>
        <w:spacing w:before="120" w:after="120"/>
        <w:jc w:val="both"/>
        <w:rPr>
          <w:rFonts w:ascii="Open Sans" w:eastAsia="Arial" w:hAnsi="Open Sans" w:cs="Open Sans"/>
          <w:color w:val="434343"/>
          <w:sz w:val="22"/>
          <w:szCs w:val="22"/>
        </w:rPr>
      </w:pPr>
      <w:r w:rsidRPr="002A2E66">
        <w:rPr>
          <w:rFonts w:ascii="Open Sans" w:eastAsia="Arial" w:hAnsi="Open Sans" w:cs="Open Sans"/>
          <w:b/>
          <w:color w:val="434343"/>
          <w:sz w:val="22"/>
          <w:szCs w:val="22"/>
        </w:rPr>
        <w:t>Research Infrastructures are key stakeholders</w:t>
      </w:r>
      <w:r w:rsidRPr="002A2E66">
        <w:rPr>
          <w:rFonts w:ascii="Open Sans" w:eastAsia="Arial" w:hAnsi="Open Sans" w:cs="Open Sans"/>
          <w:color w:val="434343"/>
          <w:sz w:val="22"/>
          <w:szCs w:val="22"/>
        </w:rPr>
        <w:t xml:space="preserve"> for the adoption of interTwin key results, as interTwin aims at delivering generic solutions that are generically applicable in multiple scientific domains and which can be customised with community-specific components for delivering data-intensive AI/ML applications for data reduction, data processing and data analysis.</w:t>
      </w:r>
    </w:p>
    <w:p w14:paraId="5DD9E9E4" w14:textId="1F176C6D" w:rsidR="002A2E66" w:rsidRPr="00E21C4A" w:rsidRDefault="002A2E66" w:rsidP="00E21C4A">
      <w:pPr>
        <w:pBdr>
          <w:top w:val="nil"/>
          <w:left w:val="nil"/>
          <w:bottom w:val="nil"/>
          <w:right w:val="nil"/>
          <w:between w:val="nil"/>
        </w:pBdr>
        <w:spacing w:before="120" w:after="120"/>
        <w:jc w:val="both"/>
        <w:rPr>
          <w:rFonts w:ascii="Open Sans" w:eastAsia="Arial" w:hAnsi="Open Sans" w:cs="Open Sans"/>
          <w:color w:val="434343"/>
          <w:sz w:val="22"/>
          <w:szCs w:val="22"/>
        </w:rPr>
      </w:pPr>
      <w:r w:rsidRPr="002A2E66">
        <w:rPr>
          <w:rFonts w:ascii="Open Sans" w:eastAsia="Arial" w:hAnsi="Open Sans" w:cs="Open Sans"/>
          <w:color w:val="434343"/>
          <w:sz w:val="22"/>
          <w:szCs w:val="22"/>
        </w:rPr>
        <w:t xml:space="preserve">interTwin aims at designing and building a prototype of an interdisciplinary Digital Twin Engine (DTE) enabling seamless access to the necessary compute and data infrastructure and services in order to facilitate the development of Digital Twins across scientific disciplines. InterTwin focuses on the fields of physics (including High Energy Physics, Astroparticle Physics and Radio Astronomy) and environmental sciences (including Climate Change, Earth Sciences, Extreme </w:t>
      </w:r>
      <w:r w:rsidR="00E21C4A" w:rsidRPr="002A2E66">
        <w:rPr>
          <w:rFonts w:ascii="Open Sans" w:eastAsia="Arial" w:hAnsi="Open Sans" w:cs="Open Sans"/>
          <w:color w:val="434343"/>
          <w:sz w:val="22"/>
          <w:szCs w:val="22"/>
        </w:rPr>
        <w:t>Weather)</w:t>
      </w:r>
      <w:r w:rsidRPr="002A2E66">
        <w:rPr>
          <w:rFonts w:ascii="Open Sans" w:eastAsia="Arial" w:hAnsi="Open Sans" w:cs="Open Sans"/>
          <w:color w:val="434343"/>
          <w:sz w:val="22"/>
          <w:szCs w:val="22"/>
        </w:rPr>
        <w:t>. Several interTwin key partners represent and are part of relevant Research Infrastructures on those domains such as HL-LHC with CERN and CSIC for high energy physics, ENVRI which includes IS-ENES represented by CMCC, CNRS-IPSL, UNITN, CERFACS, INFN contributing to the Einstein Telescope with their work on VIRGO. interTwin use cases are developing Digital Twins aiming to improve their operations, e.g. to prepare and bring infrastructures faster to production (HL-LHC, Einstein Telescope) or improve efficiency of the necessary compute operations for the data processing needs for RIs</w:t>
      </w:r>
    </w:p>
    <w:p w14:paraId="5E7410D8" w14:textId="29A13792" w:rsidR="002A2E66" w:rsidRPr="00E21C4A" w:rsidRDefault="002A2E66" w:rsidP="00E21C4A">
      <w:pPr>
        <w:pStyle w:val="Heading2"/>
        <w:numPr>
          <w:ilvl w:val="0"/>
          <w:numId w:val="0"/>
        </w:numPr>
        <w:rPr>
          <w:rFonts w:eastAsia="Arial"/>
        </w:rPr>
      </w:pPr>
      <w:bookmarkStart w:id="4" w:name="_Toc158640672"/>
      <w:r w:rsidRPr="00E21C4A">
        <w:rPr>
          <w:rFonts w:eastAsia="Arial"/>
        </w:rPr>
        <w:t>Access to research infrastructures.</w:t>
      </w:r>
      <w:bookmarkEnd w:id="4"/>
      <w:r w:rsidRPr="00E21C4A">
        <w:rPr>
          <w:rFonts w:eastAsia="Arial"/>
        </w:rPr>
        <w:t xml:space="preserve"> </w:t>
      </w:r>
    </w:p>
    <w:p w14:paraId="7A0B8D44" w14:textId="73FE4DE0" w:rsidR="002A2E66" w:rsidRPr="002A2E66" w:rsidRDefault="002A2E66" w:rsidP="00E21C4A">
      <w:pPr>
        <w:pBdr>
          <w:top w:val="nil"/>
          <w:left w:val="nil"/>
          <w:bottom w:val="nil"/>
          <w:right w:val="nil"/>
          <w:between w:val="nil"/>
        </w:pBdr>
        <w:spacing w:before="120" w:after="120"/>
        <w:jc w:val="both"/>
        <w:rPr>
          <w:rFonts w:ascii="Open Sans" w:eastAsia="Arial" w:hAnsi="Open Sans" w:cs="Open Sans"/>
          <w:color w:val="434343"/>
          <w:sz w:val="22"/>
          <w:szCs w:val="22"/>
        </w:rPr>
      </w:pPr>
      <w:r w:rsidRPr="002A2E66">
        <w:rPr>
          <w:rFonts w:ascii="Open Sans" w:eastAsia="Arial" w:hAnsi="Open Sans" w:cs="Open Sans"/>
          <w:color w:val="434343"/>
          <w:sz w:val="22"/>
          <w:szCs w:val="22"/>
        </w:rPr>
        <w:t xml:space="preserve">Several Digital Twins developed </w:t>
      </w:r>
      <w:hyperlink r:id="rId16">
        <w:r w:rsidRPr="002A2E66">
          <w:rPr>
            <w:rFonts w:ascii="Open Sans" w:eastAsia="Arial" w:hAnsi="Open Sans" w:cs="Open Sans"/>
            <w:color w:val="434343"/>
            <w:sz w:val="22"/>
            <w:szCs w:val="22"/>
            <w:u w:val="single"/>
          </w:rPr>
          <w:t>in use cases</w:t>
        </w:r>
      </w:hyperlink>
      <w:r w:rsidRPr="002A2E66">
        <w:rPr>
          <w:rFonts w:ascii="Open Sans" w:eastAsia="Arial" w:hAnsi="Open Sans" w:cs="Open Sans"/>
          <w:color w:val="434343"/>
          <w:sz w:val="22"/>
          <w:szCs w:val="22"/>
        </w:rPr>
        <w:t xml:space="preserve"> such as the environmental related (e.g. Early warning for Extreme events) will be able to become available as a service for broader communities (including industry, SMEs or other users beyond research such as policy makers or general public). </w:t>
      </w:r>
    </w:p>
    <w:p w14:paraId="6D82A215" w14:textId="4B5F7B77" w:rsidR="002A2E66" w:rsidRPr="002A2E66" w:rsidRDefault="002A2E66" w:rsidP="00E21C4A">
      <w:pPr>
        <w:pStyle w:val="Heading2"/>
        <w:numPr>
          <w:ilvl w:val="0"/>
          <w:numId w:val="0"/>
        </w:numPr>
        <w:rPr>
          <w:rFonts w:eastAsia="Arial" w:cs="Open Sans"/>
          <w:sz w:val="22"/>
          <w:szCs w:val="22"/>
        </w:rPr>
      </w:pPr>
      <w:bookmarkStart w:id="5" w:name="_Toc158640673"/>
      <w:r w:rsidRPr="00E21C4A">
        <w:rPr>
          <w:rFonts w:eastAsia="Arial"/>
        </w:rPr>
        <w:t>Funding of research infrastructures.</w:t>
      </w:r>
      <w:bookmarkEnd w:id="5"/>
      <w:r w:rsidRPr="00E21C4A">
        <w:rPr>
          <w:rFonts w:eastAsia="Arial"/>
        </w:rPr>
        <w:t xml:space="preserve"> </w:t>
      </w:r>
    </w:p>
    <w:p w14:paraId="1E7759CA" w14:textId="576F3BA9" w:rsidR="002A2E66" w:rsidRDefault="002A2E66" w:rsidP="00E21C4A">
      <w:pPr>
        <w:pBdr>
          <w:top w:val="nil"/>
          <w:left w:val="nil"/>
          <w:bottom w:val="nil"/>
          <w:right w:val="nil"/>
          <w:between w:val="nil"/>
        </w:pBdr>
        <w:spacing w:before="120" w:after="120"/>
        <w:jc w:val="both"/>
        <w:rPr>
          <w:rFonts w:ascii="Open Sans" w:eastAsia="Arial" w:hAnsi="Open Sans" w:cs="Open Sans"/>
          <w:color w:val="434343"/>
          <w:sz w:val="22"/>
          <w:szCs w:val="22"/>
        </w:rPr>
      </w:pPr>
      <w:r w:rsidRPr="002A2E66">
        <w:rPr>
          <w:rFonts w:ascii="Open Sans" w:eastAsia="Arial" w:hAnsi="Open Sans" w:cs="Open Sans"/>
          <w:color w:val="434343"/>
          <w:sz w:val="22"/>
          <w:szCs w:val="22"/>
        </w:rPr>
        <w:t xml:space="preserve">It is expected that the successfully demonstrated ability to implement a compute continuum in DT applications that can be adopted and shared among research infrastructures, will create economy of scales by allowing multiple infrastructure to rely on a shared compute continuum infrastructure. This approach can bring tangible cost reductions thanks to the more efficient and shared access to Cloud, HTC and HPC resources, and to a faster adoption of AI/ML in scientific software. </w:t>
      </w:r>
    </w:p>
    <w:p w14:paraId="6DB44DE3" w14:textId="77777777" w:rsidR="00E21C4A" w:rsidRDefault="00E21C4A" w:rsidP="00E21C4A">
      <w:pPr>
        <w:pBdr>
          <w:top w:val="nil"/>
          <w:left w:val="nil"/>
          <w:bottom w:val="nil"/>
          <w:right w:val="nil"/>
          <w:between w:val="nil"/>
        </w:pBdr>
        <w:jc w:val="both"/>
        <w:rPr>
          <w:rFonts w:ascii="Open Sans" w:eastAsia="Arial" w:hAnsi="Open Sans" w:cs="Open Sans"/>
          <w:color w:val="434343"/>
          <w:sz w:val="22"/>
          <w:szCs w:val="22"/>
        </w:rPr>
      </w:pPr>
    </w:p>
    <w:p w14:paraId="26900E10" w14:textId="77777777" w:rsidR="00E21C4A" w:rsidRPr="002A2E66" w:rsidRDefault="00E21C4A" w:rsidP="00E21C4A">
      <w:pPr>
        <w:pBdr>
          <w:top w:val="nil"/>
          <w:left w:val="nil"/>
          <w:bottom w:val="nil"/>
          <w:right w:val="nil"/>
          <w:between w:val="nil"/>
        </w:pBdr>
        <w:jc w:val="both"/>
        <w:rPr>
          <w:rFonts w:ascii="Open Sans" w:eastAsia="Arial" w:hAnsi="Open Sans" w:cs="Open Sans"/>
          <w:color w:val="434343"/>
          <w:sz w:val="22"/>
          <w:szCs w:val="22"/>
        </w:rPr>
      </w:pPr>
    </w:p>
    <w:p w14:paraId="4C1D4A69" w14:textId="2251DA66" w:rsidR="002A2E66" w:rsidRPr="00E21C4A" w:rsidRDefault="002A2E66" w:rsidP="00E21C4A">
      <w:pPr>
        <w:pStyle w:val="Heading2"/>
        <w:numPr>
          <w:ilvl w:val="0"/>
          <w:numId w:val="0"/>
        </w:numPr>
        <w:rPr>
          <w:rFonts w:eastAsia="Arial"/>
        </w:rPr>
      </w:pPr>
      <w:bookmarkStart w:id="6" w:name="_Toc158640674"/>
      <w:r w:rsidRPr="00E21C4A">
        <w:rPr>
          <w:rFonts w:eastAsia="Arial"/>
        </w:rPr>
        <w:lastRenderedPageBreak/>
        <w:t>International co-operation of research infrastructures</w:t>
      </w:r>
      <w:bookmarkEnd w:id="6"/>
    </w:p>
    <w:p w14:paraId="4AC136D0" w14:textId="07456C19" w:rsidR="002A2E66" w:rsidRPr="002A2E66" w:rsidRDefault="002A2E66" w:rsidP="00E21C4A">
      <w:pPr>
        <w:pBdr>
          <w:top w:val="nil"/>
          <w:left w:val="nil"/>
          <w:bottom w:val="nil"/>
          <w:right w:val="nil"/>
          <w:between w:val="nil"/>
        </w:pBdr>
        <w:spacing w:before="120" w:after="120"/>
        <w:jc w:val="both"/>
        <w:rPr>
          <w:rFonts w:ascii="Open Sans" w:eastAsia="Arial" w:hAnsi="Open Sans" w:cs="Open Sans"/>
          <w:color w:val="434343"/>
          <w:sz w:val="22"/>
          <w:szCs w:val="22"/>
        </w:rPr>
      </w:pPr>
      <w:r w:rsidRPr="002A2E66">
        <w:rPr>
          <w:rFonts w:ascii="Open Sans" w:eastAsia="Arial" w:hAnsi="Open Sans" w:cs="Open Sans"/>
          <w:color w:val="434343"/>
          <w:sz w:val="22"/>
          <w:szCs w:val="22"/>
        </w:rPr>
        <w:t xml:space="preserve">Several of the </w:t>
      </w:r>
      <w:hyperlink r:id="rId17">
        <w:r w:rsidRPr="002A2E66">
          <w:rPr>
            <w:rFonts w:ascii="Open Sans" w:eastAsia="Arial" w:hAnsi="Open Sans" w:cs="Open Sans"/>
            <w:color w:val="434343"/>
            <w:sz w:val="22"/>
            <w:szCs w:val="22"/>
            <w:u w:val="single"/>
          </w:rPr>
          <w:t>Key Exploitable Results</w:t>
        </w:r>
      </w:hyperlink>
      <w:r w:rsidRPr="002A2E66">
        <w:rPr>
          <w:rFonts w:ascii="Open Sans" w:eastAsia="Arial" w:hAnsi="Open Sans" w:cs="Open Sans"/>
          <w:color w:val="434343"/>
          <w:sz w:val="22"/>
          <w:szCs w:val="22"/>
        </w:rPr>
        <w:t xml:space="preserve"> are expected to foster the collaboration across the different scientific domains, such as the KER2 Interoperability framework that ensures the alignment of Digital Twin Engine with existing data and infrastructure standards, and the KER6 open source community which facilitates the adoption of the different Software Components of the project. KER1 Digital Twin Engine is creating a service that will enable the digitalization of research infrastructures by facilitating the development of Digital Twins.</w:t>
      </w:r>
    </w:p>
    <w:p w14:paraId="2618792F" w14:textId="6B799080" w:rsidR="002A2E66" w:rsidRPr="002A2E66" w:rsidRDefault="002A2E66" w:rsidP="00E21C4A">
      <w:pPr>
        <w:pBdr>
          <w:top w:val="nil"/>
          <w:left w:val="nil"/>
          <w:bottom w:val="nil"/>
          <w:right w:val="nil"/>
          <w:between w:val="nil"/>
        </w:pBdr>
        <w:spacing w:before="120" w:after="120"/>
        <w:jc w:val="both"/>
        <w:rPr>
          <w:rFonts w:ascii="Open Sans" w:eastAsia="Arial" w:hAnsi="Open Sans" w:cs="Open Sans"/>
          <w:color w:val="434343"/>
          <w:sz w:val="22"/>
          <w:szCs w:val="22"/>
        </w:rPr>
      </w:pPr>
      <w:r w:rsidRPr="002A2E66">
        <w:rPr>
          <w:rFonts w:ascii="Open Sans" w:eastAsia="Arial" w:hAnsi="Open Sans" w:cs="Open Sans"/>
          <w:color w:val="434343"/>
          <w:sz w:val="22"/>
          <w:szCs w:val="22"/>
        </w:rPr>
        <w:t xml:space="preserve">Scientific communities in the project are international initiatives that span out of the European domain involving researchers worldwide and contributing to overall mankind scientific progress (such as ENES, LHC, VIRGO, MeerKat). As such, interTwin is contributing to ensure the </w:t>
      </w:r>
      <w:r w:rsidR="00A35BDA" w:rsidRPr="002A2E66">
        <w:rPr>
          <w:rFonts w:ascii="Open Sans" w:eastAsia="Arial" w:hAnsi="Open Sans" w:cs="Open Sans"/>
          <w:color w:val="434343"/>
          <w:sz w:val="22"/>
          <w:szCs w:val="22"/>
        </w:rPr>
        <w:t>European</w:t>
      </w:r>
      <w:r w:rsidRPr="002A2E66">
        <w:rPr>
          <w:rFonts w:ascii="Open Sans" w:eastAsia="Arial" w:hAnsi="Open Sans" w:cs="Open Sans"/>
          <w:color w:val="434343"/>
          <w:sz w:val="22"/>
          <w:szCs w:val="22"/>
        </w:rPr>
        <w:t xml:space="preserve"> significance within those international initiatives and enable bringing back to </w:t>
      </w:r>
      <w:r w:rsidR="00A35BDA" w:rsidRPr="002A2E66">
        <w:rPr>
          <w:rFonts w:ascii="Open Sans" w:eastAsia="Arial" w:hAnsi="Open Sans" w:cs="Open Sans"/>
          <w:color w:val="434343"/>
          <w:sz w:val="22"/>
          <w:szCs w:val="22"/>
        </w:rPr>
        <w:t>Europe</w:t>
      </w:r>
      <w:r w:rsidRPr="002A2E66">
        <w:rPr>
          <w:rFonts w:ascii="Open Sans" w:eastAsia="Arial" w:hAnsi="Open Sans" w:cs="Open Sans"/>
          <w:color w:val="434343"/>
          <w:sz w:val="22"/>
          <w:szCs w:val="22"/>
        </w:rPr>
        <w:t xml:space="preserve"> the knowledge generated in </w:t>
      </w:r>
      <w:r w:rsidR="00A35BDA" w:rsidRPr="002A2E66">
        <w:rPr>
          <w:rFonts w:ascii="Open Sans" w:eastAsia="Arial" w:hAnsi="Open Sans" w:cs="Open Sans"/>
          <w:color w:val="434343"/>
          <w:sz w:val="22"/>
          <w:szCs w:val="22"/>
        </w:rPr>
        <w:t>them. There</w:t>
      </w:r>
      <w:r w:rsidRPr="002A2E66">
        <w:rPr>
          <w:rFonts w:ascii="Open Sans" w:eastAsia="Arial" w:hAnsi="Open Sans" w:cs="Open Sans"/>
          <w:color w:val="434343"/>
          <w:sz w:val="22"/>
          <w:szCs w:val="22"/>
        </w:rPr>
        <w:t xml:space="preserve"> are specific collaborations with Switzerland </w:t>
      </w:r>
      <w:r w:rsidR="00A35BDA" w:rsidRPr="002A2E66">
        <w:rPr>
          <w:rFonts w:ascii="Open Sans" w:eastAsia="Arial" w:hAnsi="Open Sans" w:cs="Open Sans"/>
          <w:color w:val="434343"/>
          <w:sz w:val="22"/>
          <w:szCs w:val="22"/>
        </w:rPr>
        <w:t>(part</w:t>
      </w:r>
      <w:r w:rsidRPr="002A2E66">
        <w:rPr>
          <w:rFonts w:ascii="Open Sans" w:eastAsia="Arial" w:hAnsi="Open Sans" w:cs="Open Sans"/>
          <w:color w:val="434343"/>
          <w:sz w:val="22"/>
          <w:szCs w:val="22"/>
        </w:rPr>
        <w:t xml:space="preserve"> of the cooperation with the Lattice QCD use case) and with the UK, as UKRI is infrastructure and technology provider for the project. </w:t>
      </w:r>
    </w:p>
    <w:p w14:paraId="22DFA4F2" w14:textId="430A45B3" w:rsidR="002A2E66" w:rsidRPr="002A2E66" w:rsidRDefault="002A2E66" w:rsidP="00A35BDA">
      <w:pPr>
        <w:pBdr>
          <w:top w:val="nil"/>
          <w:left w:val="nil"/>
          <w:bottom w:val="nil"/>
          <w:right w:val="nil"/>
          <w:between w:val="nil"/>
        </w:pBdr>
        <w:spacing w:before="120" w:after="120"/>
        <w:jc w:val="both"/>
        <w:rPr>
          <w:rFonts w:ascii="Open Sans" w:eastAsia="Arial" w:hAnsi="Open Sans" w:cs="Open Sans"/>
          <w:color w:val="434343"/>
          <w:sz w:val="22"/>
          <w:szCs w:val="22"/>
        </w:rPr>
      </w:pPr>
      <w:r w:rsidRPr="002A2E66">
        <w:rPr>
          <w:rFonts w:ascii="Open Sans" w:eastAsia="Arial" w:hAnsi="Open Sans" w:cs="Open Sans"/>
          <w:color w:val="434343"/>
          <w:sz w:val="22"/>
          <w:szCs w:val="22"/>
        </w:rPr>
        <w:t xml:space="preserve">The subset of environmental science related use cases </w:t>
      </w:r>
      <w:r w:rsidR="00A35BDA" w:rsidRPr="002A2E66">
        <w:rPr>
          <w:rFonts w:ascii="Open Sans" w:eastAsia="Arial" w:hAnsi="Open Sans" w:cs="Open Sans"/>
          <w:color w:val="434343"/>
          <w:sz w:val="22"/>
          <w:szCs w:val="22"/>
        </w:rPr>
        <w:t>is</w:t>
      </w:r>
      <w:r w:rsidRPr="002A2E66">
        <w:rPr>
          <w:rFonts w:ascii="Open Sans" w:eastAsia="Arial" w:hAnsi="Open Sans" w:cs="Open Sans"/>
          <w:color w:val="434343"/>
          <w:sz w:val="22"/>
          <w:szCs w:val="22"/>
        </w:rPr>
        <w:t xml:space="preserve"> developing Digital Twins that are being used as reference for the Digital Twin of the Earth initiative. In particular FloodAdapt is being used as a reference case by DestinE. Further use cases address global challenges deriving from the climate change emergence - such as extreme weather, floods, </w:t>
      </w:r>
      <w:r w:rsidR="00A35BDA" w:rsidRPr="002A2E66">
        <w:rPr>
          <w:rFonts w:ascii="Open Sans" w:eastAsia="Arial" w:hAnsi="Open Sans" w:cs="Open Sans"/>
          <w:color w:val="434343"/>
          <w:sz w:val="22"/>
          <w:szCs w:val="22"/>
        </w:rPr>
        <w:t>drought,</w:t>
      </w:r>
      <w:r w:rsidRPr="002A2E66">
        <w:rPr>
          <w:rFonts w:ascii="Open Sans" w:eastAsia="Arial" w:hAnsi="Open Sans" w:cs="Open Sans"/>
          <w:color w:val="434343"/>
          <w:sz w:val="22"/>
          <w:szCs w:val="22"/>
        </w:rPr>
        <w:t xml:space="preserve"> or forest fires.</w:t>
      </w:r>
    </w:p>
    <w:p w14:paraId="1D99A634" w14:textId="273CD67A" w:rsidR="002A2E66" w:rsidRPr="00E21C4A" w:rsidRDefault="002A2E66" w:rsidP="00E21C4A">
      <w:pPr>
        <w:pStyle w:val="Heading2"/>
        <w:numPr>
          <w:ilvl w:val="0"/>
          <w:numId w:val="0"/>
        </w:numPr>
        <w:rPr>
          <w:rFonts w:eastAsia="Arial"/>
        </w:rPr>
      </w:pPr>
      <w:bookmarkStart w:id="7" w:name="_Toc158640675"/>
      <w:r w:rsidRPr="002A2E66">
        <w:rPr>
          <w:rFonts w:eastAsia="Arial"/>
        </w:rPr>
        <w:t>Employment and skills in research infrastructures.</w:t>
      </w:r>
      <w:bookmarkEnd w:id="7"/>
      <w:r w:rsidRPr="002A2E66">
        <w:rPr>
          <w:rFonts w:eastAsia="Arial"/>
        </w:rPr>
        <w:t xml:space="preserve"> </w:t>
      </w:r>
    </w:p>
    <w:p w14:paraId="07D31163" w14:textId="45DFB456" w:rsidR="002A2E66" w:rsidRPr="00E21C4A" w:rsidRDefault="002A2E66" w:rsidP="00E21C4A">
      <w:pPr>
        <w:pBdr>
          <w:top w:val="nil"/>
          <w:left w:val="nil"/>
          <w:bottom w:val="nil"/>
          <w:right w:val="nil"/>
          <w:between w:val="nil"/>
        </w:pBdr>
        <w:spacing w:before="120" w:after="120"/>
        <w:jc w:val="both"/>
        <w:rPr>
          <w:rFonts w:ascii="Open Sans" w:eastAsia="Roboto" w:hAnsi="Open Sans" w:cs="Open Sans"/>
          <w:color w:val="434343"/>
          <w:sz w:val="22"/>
          <w:szCs w:val="22"/>
        </w:rPr>
      </w:pPr>
      <w:r w:rsidRPr="002A2E66">
        <w:rPr>
          <w:rFonts w:ascii="Open Sans" w:eastAsia="Arial" w:hAnsi="Open Sans" w:cs="Open Sans"/>
          <w:color w:val="434343"/>
          <w:sz w:val="22"/>
          <w:szCs w:val="22"/>
        </w:rPr>
        <w:t xml:space="preserve">Researchers involved in </w:t>
      </w:r>
      <w:r w:rsidR="00A35BDA" w:rsidRPr="002A2E66">
        <w:rPr>
          <w:rFonts w:ascii="Open Sans" w:eastAsia="Arial" w:hAnsi="Open Sans" w:cs="Open Sans"/>
          <w:color w:val="434343"/>
          <w:sz w:val="22"/>
          <w:szCs w:val="22"/>
        </w:rPr>
        <w:t>interTwin are</w:t>
      </w:r>
      <w:r w:rsidRPr="002A2E66">
        <w:rPr>
          <w:rFonts w:ascii="Open Sans" w:eastAsia="Arial" w:hAnsi="Open Sans" w:cs="Open Sans"/>
          <w:color w:val="434343"/>
          <w:sz w:val="22"/>
          <w:szCs w:val="22"/>
        </w:rPr>
        <w:t xml:space="preserve"> broadening knowledge in AI, ML usage for Digital Twins. While contributing to better understanding, knowledge is being shared openly not only for the researchers in the project but also for the users and future users within the Research Infrastructures. As such several technical webinars and training material are being prepared. </w:t>
      </w:r>
      <w:r w:rsidRPr="002A2E66">
        <w:rPr>
          <w:rFonts w:ascii="Open Sans" w:eastAsia="Roboto" w:hAnsi="Open Sans" w:cs="Open Sans"/>
          <w:color w:val="434343"/>
          <w:sz w:val="22"/>
          <w:szCs w:val="22"/>
        </w:rPr>
        <w:t xml:space="preserve">Indirectly the project is not only ensuring the employment of the researchers working in the project but broadening the opportunities of research infrastructures. Impact after the end of the project depends on the (economic) sustainability and the uptake after the project. </w:t>
      </w:r>
    </w:p>
    <w:p w14:paraId="3243D884" w14:textId="17084993" w:rsidR="002A2E66" w:rsidRPr="002A2E66" w:rsidRDefault="002A2E66" w:rsidP="0032310F">
      <w:pPr>
        <w:pBdr>
          <w:top w:val="nil"/>
          <w:left w:val="nil"/>
          <w:bottom w:val="nil"/>
          <w:right w:val="nil"/>
          <w:between w:val="nil"/>
        </w:pBdr>
        <w:spacing w:before="120" w:after="120"/>
        <w:jc w:val="both"/>
        <w:rPr>
          <w:rFonts w:ascii="Open Sans" w:eastAsia="Arial" w:hAnsi="Open Sans" w:cs="Open Sans"/>
          <w:color w:val="434343"/>
          <w:sz w:val="22"/>
          <w:szCs w:val="22"/>
        </w:rPr>
      </w:pPr>
      <w:r w:rsidRPr="002A2E66">
        <w:rPr>
          <w:rFonts w:ascii="Open Sans" w:eastAsia="Roboto" w:hAnsi="Open Sans" w:cs="Open Sans"/>
          <w:color w:val="434343"/>
          <w:sz w:val="22"/>
          <w:szCs w:val="22"/>
          <w:u w:val="single"/>
        </w:rPr>
        <w:t>Recommendation for further impact</w:t>
      </w:r>
      <w:r w:rsidRPr="002A2E66">
        <w:rPr>
          <w:rFonts w:ascii="Open Sans" w:eastAsia="Roboto" w:hAnsi="Open Sans" w:cs="Open Sans"/>
          <w:color w:val="434343"/>
          <w:sz w:val="22"/>
          <w:szCs w:val="22"/>
        </w:rPr>
        <w:t xml:space="preserve">, after the end of the project support will need to be granted to deliver training &amp; capabilities to upskill RIs on the development of Digital Twins should be given via competence centres, EOSC nodes </w:t>
      </w:r>
    </w:p>
    <w:p w14:paraId="02B11D8B" w14:textId="765FD5CD" w:rsidR="002A2E66" w:rsidRPr="00A35BDA" w:rsidRDefault="002A2E66" w:rsidP="00A35BDA">
      <w:pPr>
        <w:pStyle w:val="Heading2"/>
        <w:numPr>
          <w:ilvl w:val="0"/>
          <w:numId w:val="0"/>
        </w:numPr>
        <w:rPr>
          <w:rFonts w:eastAsia="Arial"/>
        </w:rPr>
      </w:pPr>
      <w:bookmarkStart w:id="8" w:name="_Toc158640676"/>
      <w:r w:rsidRPr="00A35BDA">
        <w:rPr>
          <w:rFonts w:eastAsia="Arial"/>
        </w:rPr>
        <w:t>Greening of research infrastructures</w:t>
      </w:r>
      <w:bookmarkEnd w:id="8"/>
    </w:p>
    <w:p w14:paraId="74306320" w14:textId="0114252F" w:rsidR="002A2E66" w:rsidRPr="002A2E66" w:rsidRDefault="002A2E66" w:rsidP="00A35BDA">
      <w:pPr>
        <w:pBdr>
          <w:top w:val="nil"/>
          <w:left w:val="nil"/>
          <w:bottom w:val="nil"/>
          <w:right w:val="nil"/>
          <w:between w:val="nil"/>
        </w:pBdr>
        <w:spacing w:before="120" w:after="120"/>
        <w:jc w:val="both"/>
        <w:rPr>
          <w:rFonts w:ascii="Open Sans" w:eastAsia="Arial" w:hAnsi="Open Sans" w:cs="Open Sans"/>
          <w:color w:val="434343"/>
          <w:sz w:val="22"/>
          <w:szCs w:val="22"/>
        </w:rPr>
      </w:pPr>
      <w:r w:rsidRPr="002A2E66">
        <w:rPr>
          <w:rFonts w:ascii="Open Sans" w:eastAsia="Arial" w:hAnsi="Open Sans" w:cs="Open Sans"/>
          <w:color w:val="434343"/>
          <w:sz w:val="22"/>
          <w:szCs w:val="22"/>
        </w:rPr>
        <w:t xml:space="preserve">Several </w:t>
      </w:r>
      <w:r w:rsidR="0032310F" w:rsidRPr="002A2E66">
        <w:rPr>
          <w:rFonts w:ascii="Open Sans" w:eastAsia="Arial" w:hAnsi="Open Sans" w:cs="Open Sans"/>
          <w:color w:val="434343"/>
          <w:sz w:val="22"/>
          <w:szCs w:val="22"/>
        </w:rPr>
        <w:t>subsets</w:t>
      </w:r>
      <w:r w:rsidRPr="002A2E66">
        <w:rPr>
          <w:rFonts w:ascii="Open Sans" w:eastAsia="Arial" w:hAnsi="Open Sans" w:cs="Open Sans"/>
          <w:color w:val="434343"/>
          <w:sz w:val="22"/>
          <w:szCs w:val="22"/>
        </w:rPr>
        <w:t xml:space="preserve"> of results are specifically aiming to optimise the energy consumption by compute infrastructures: The interTwin AI Orchestrator </w:t>
      </w:r>
      <w:r w:rsidR="00735D3D" w:rsidRPr="002A2E66">
        <w:rPr>
          <w:rFonts w:ascii="Open Sans" w:eastAsia="Arial" w:hAnsi="Open Sans" w:cs="Open Sans"/>
          <w:color w:val="434343"/>
          <w:sz w:val="22"/>
          <w:szCs w:val="22"/>
        </w:rPr>
        <w:t>considers</w:t>
      </w:r>
      <w:r w:rsidRPr="002A2E66">
        <w:rPr>
          <w:rFonts w:ascii="Open Sans" w:eastAsia="Arial" w:hAnsi="Open Sans" w:cs="Open Sans"/>
          <w:color w:val="434343"/>
          <w:sz w:val="22"/>
          <w:szCs w:val="22"/>
        </w:rPr>
        <w:t xml:space="preserve"> sustainability constraints on the resource allocation in order to facilitate a greener computing for RIs. ML algorithms are developed to speed up simulations (by substituting Montecarlo-based ones, which are very compute intensive). Pre-processing and processing of Data by the DTs will reduce the need for storage.</w:t>
      </w:r>
    </w:p>
    <w:p w14:paraId="6594E848" w14:textId="5E588BAA" w:rsidR="002A2E66" w:rsidRPr="00A35BDA" w:rsidRDefault="002A2E66" w:rsidP="00A35BDA">
      <w:pPr>
        <w:pStyle w:val="Heading2"/>
        <w:numPr>
          <w:ilvl w:val="0"/>
          <w:numId w:val="0"/>
        </w:numPr>
        <w:rPr>
          <w:rFonts w:eastAsia="Roboto"/>
        </w:rPr>
      </w:pPr>
      <w:bookmarkStart w:id="9" w:name="_Toc158640677"/>
      <w:r w:rsidRPr="00A35BDA">
        <w:rPr>
          <w:rFonts w:eastAsia="Arial"/>
        </w:rPr>
        <w:lastRenderedPageBreak/>
        <w:t>Interaction of research infrastructures with industry.</w:t>
      </w:r>
      <w:bookmarkEnd w:id="9"/>
      <w:r w:rsidRPr="00A35BDA">
        <w:rPr>
          <w:rFonts w:eastAsia="Arial"/>
        </w:rPr>
        <w:t xml:space="preserve">  </w:t>
      </w:r>
    </w:p>
    <w:p w14:paraId="3E38E6CB" w14:textId="20BA4CC0" w:rsidR="002A2E66" w:rsidRPr="002A2E66" w:rsidRDefault="002A2E66" w:rsidP="00C3171A">
      <w:pPr>
        <w:pBdr>
          <w:top w:val="nil"/>
          <w:left w:val="nil"/>
          <w:bottom w:val="nil"/>
          <w:right w:val="nil"/>
          <w:between w:val="nil"/>
        </w:pBdr>
        <w:spacing w:before="120" w:after="120"/>
        <w:jc w:val="both"/>
        <w:rPr>
          <w:rFonts w:ascii="Open Sans" w:eastAsia="Roboto" w:hAnsi="Open Sans" w:cs="Open Sans"/>
          <w:color w:val="434343"/>
          <w:sz w:val="22"/>
          <w:szCs w:val="22"/>
        </w:rPr>
      </w:pPr>
      <w:r w:rsidRPr="002A2E66">
        <w:rPr>
          <w:rFonts w:ascii="Open Sans" w:eastAsia="Roboto" w:hAnsi="Open Sans" w:cs="Open Sans"/>
          <w:color w:val="434343"/>
          <w:sz w:val="22"/>
          <w:szCs w:val="22"/>
        </w:rPr>
        <w:t xml:space="preserve">There are some SMEs linked the project (e.g. EODC) and there is an effort to engage with external industrial experts (e.g. via the external expert advisory board). At this point the main focus is on science related DT's. Activities in some domains (e.g. earth science and environmental related) - have direct societal impact and may arise opportunities among industrial players working in the domain. As such, activities to promote the project across broader audiences including industry, SMEs and public authorities have been kick-started, and collaboration with such as EOSC and EGI Digital Innovation Hubs or the DECIDO-EOSC Competence Center for Public Authorities. </w:t>
      </w:r>
      <w:r w:rsidRPr="002A2E66">
        <w:rPr>
          <w:rFonts w:ascii="Open Sans" w:eastAsia="Roboto" w:hAnsi="Open Sans" w:cs="Open Sans"/>
          <w:color w:val="434343"/>
          <w:sz w:val="22"/>
          <w:szCs w:val="22"/>
          <w:u w:val="single"/>
        </w:rPr>
        <w:t>As a recommendation</w:t>
      </w:r>
      <w:r w:rsidRPr="002A2E66">
        <w:rPr>
          <w:rFonts w:ascii="Open Sans" w:eastAsia="Roboto" w:hAnsi="Open Sans" w:cs="Open Sans"/>
          <w:color w:val="434343"/>
          <w:sz w:val="22"/>
          <w:szCs w:val="22"/>
        </w:rPr>
        <w:t>, specific funding to promote and support industry and SMEs’ access to the Digital Twin Engine to develop DT-related technologies, e.g. via open calls for prototyping would be useful to ensure crossing the chasm and raising the interest of industrial players.</w:t>
      </w:r>
    </w:p>
    <w:p w14:paraId="5A0A5064" w14:textId="1547A2E4" w:rsidR="002A2E66" w:rsidRPr="00C3171A" w:rsidRDefault="002A2E66" w:rsidP="00C3171A">
      <w:pPr>
        <w:pStyle w:val="Heading2"/>
        <w:numPr>
          <w:ilvl w:val="0"/>
          <w:numId w:val="0"/>
        </w:numPr>
        <w:ind w:left="576" w:hanging="576"/>
        <w:rPr>
          <w:rFonts w:eastAsia="Arial"/>
        </w:rPr>
      </w:pPr>
      <w:bookmarkStart w:id="10" w:name="_Toc158640678"/>
      <w:r w:rsidRPr="00C3171A">
        <w:rPr>
          <w:rFonts w:eastAsia="Arial"/>
        </w:rPr>
        <w:t>ERIC legal framework.</w:t>
      </w:r>
      <w:bookmarkEnd w:id="10"/>
      <w:r w:rsidRPr="00C3171A">
        <w:rPr>
          <w:rFonts w:eastAsia="Arial"/>
        </w:rPr>
        <w:t xml:space="preserve"> </w:t>
      </w:r>
    </w:p>
    <w:p w14:paraId="16A3BFB5" w14:textId="7C86C102" w:rsidR="002A2E66" w:rsidRPr="002A2E66" w:rsidRDefault="002A2E66" w:rsidP="00C3171A">
      <w:pPr>
        <w:pBdr>
          <w:top w:val="nil"/>
          <w:left w:val="nil"/>
          <w:bottom w:val="nil"/>
          <w:right w:val="nil"/>
          <w:between w:val="nil"/>
        </w:pBdr>
        <w:rPr>
          <w:rFonts w:ascii="Open Sans" w:eastAsia="Arial" w:hAnsi="Open Sans" w:cs="Open Sans"/>
          <w:color w:val="434343"/>
          <w:sz w:val="22"/>
          <w:szCs w:val="22"/>
        </w:rPr>
      </w:pPr>
      <w:r w:rsidRPr="002A2E66">
        <w:rPr>
          <w:rFonts w:ascii="Open Sans" w:eastAsia="Arial" w:hAnsi="Open Sans" w:cs="Open Sans"/>
          <w:color w:val="434343"/>
          <w:sz w:val="22"/>
          <w:szCs w:val="22"/>
        </w:rPr>
        <w:t xml:space="preserve">Not applicable </w:t>
      </w:r>
    </w:p>
    <w:p w14:paraId="0FA0EE05" w14:textId="03E0AC6B" w:rsidR="002A2E66" w:rsidRPr="00C3171A" w:rsidRDefault="002A2E66" w:rsidP="00C3171A">
      <w:pPr>
        <w:pStyle w:val="Heading2"/>
        <w:numPr>
          <w:ilvl w:val="0"/>
          <w:numId w:val="0"/>
        </w:numPr>
        <w:rPr>
          <w:rFonts w:eastAsia="Arial"/>
        </w:rPr>
      </w:pPr>
      <w:bookmarkStart w:id="11" w:name="_Toc158640679"/>
      <w:r w:rsidRPr="002A2E66">
        <w:rPr>
          <w:rFonts w:eastAsia="Arial"/>
        </w:rPr>
        <w:t>Technology development, data and digital services, digitalisation.</w:t>
      </w:r>
      <w:bookmarkEnd w:id="11"/>
      <w:r w:rsidRPr="002A2E66">
        <w:rPr>
          <w:rFonts w:eastAsia="Arial"/>
        </w:rPr>
        <w:t xml:space="preserve"> </w:t>
      </w:r>
    </w:p>
    <w:p w14:paraId="15F82A18" w14:textId="6D861779" w:rsidR="002A2E66" w:rsidRPr="00C3171A" w:rsidRDefault="002A2E66" w:rsidP="00C3171A">
      <w:pPr>
        <w:pBdr>
          <w:top w:val="nil"/>
          <w:left w:val="nil"/>
          <w:bottom w:val="nil"/>
          <w:right w:val="nil"/>
          <w:between w:val="nil"/>
        </w:pBdr>
        <w:spacing w:before="120" w:after="120"/>
        <w:jc w:val="both"/>
        <w:rPr>
          <w:rFonts w:ascii="Open Sans" w:eastAsia="Roboto" w:hAnsi="Open Sans" w:cs="Open Sans"/>
          <w:color w:val="434343"/>
          <w:sz w:val="22"/>
          <w:szCs w:val="22"/>
        </w:rPr>
      </w:pPr>
      <w:r w:rsidRPr="002A2E66">
        <w:rPr>
          <w:rFonts w:ascii="Open Sans" w:eastAsia="Roboto" w:hAnsi="Open Sans" w:cs="Open Sans"/>
          <w:b/>
          <w:color w:val="434343"/>
          <w:sz w:val="22"/>
          <w:szCs w:val="22"/>
        </w:rPr>
        <w:t>A faster uptake of AI/ML thanks to common solutions is expected to boost data productivity in science promoting secondary use of data and with that the research data value chain.</w:t>
      </w:r>
      <w:r w:rsidRPr="002A2E66">
        <w:rPr>
          <w:rFonts w:ascii="Open Sans" w:eastAsia="Roboto" w:hAnsi="Open Sans" w:cs="Open Sans"/>
          <w:color w:val="434343"/>
          <w:sz w:val="22"/>
          <w:szCs w:val="22"/>
        </w:rPr>
        <w:t xml:space="preserve"> The role of AI in research infrastructures and the European Open Science Cloud is central to ESFRI, and a dedicated workshop was held in Milan during 23-24 Jan 2024. The outputs of the workshop are expected in ESFRI policy recommendations on future technology and innovation priorities. Hence, interTwin DTEblueprint and its technical components are well positioned to address the ESFRI research infrastructure needs. In the future Digital twins will become a commodity and interTwin contributes to this vision. </w:t>
      </w:r>
    </w:p>
    <w:p w14:paraId="2720317A" w14:textId="0D70EAD0" w:rsidR="002A2E66" w:rsidRPr="002A2E66" w:rsidRDefault="002A2E66" w:rsidP="001710F1">
      <w:pPr>
        <w:pBdr>
          <w:top w:val="nil"/>
          <w:left w:val="nil"/>
          <w:bottom w:val="nil"/>
          <w:right w:val="nil"/>
          <w:between w:val="nil"/>
        </w:pBdr>
        <w:spacing w:before="120" w:after="120"/>
        <w:jc w:val="both"/>
        <w:rPr>
          <w:rFonts w:ascii="Open Sans" w:eastAsia="Roboto" w:hAnsi="Open Sans" w:cs="Open Sans"/>
          <w:color w:val="434343"/>
          <w:sz w:val="22"/>
          <w:szCs w:val="22"/>
        </w:rPr>
      </w:pPr>
      <w:r w:rsidRPr="002A2E66">
        <w:rPr>
          <w:rFonts w:ascii="Open Sans" w:eastAsia="Roboto" w:hAnsi="Open Sans" w:cs="Open Sans"/>
          <w:color w:val="434343"/>
          <w:sz w:val="22"/>
          <w:szCs w:val="22"/>
          <w:u w:val="single"/>
        </w:rPr>
        <w:t>Recommendation from a policy point of view</w:t>
      </w:r>
      <w:r w:rsidRPr="002A2E66">
        <w:rPr>
          <w:rFonts w:ascii="Open Sans" w:eastAsia="Roboto" w:hAnsi="Open Sans" w:cs="Open Sans"/>
          <w:color w:val="434343"/>
          <w:sz w:val="22"/>
          <w:szCs w:val="22"/>
        </w:rPr>
        <w:t xml:space="preserve"> it is needed to upgrade the necessary (e-)</w:t>
      </w:r>
      <w:r w:rsidR="001710F1">
        <w:rPr>
          <w:rFonts w:ascii="Open Sans" w:eastAsia="Roboto" w:hAnsi="Open Sans" w:cs="Open Sans"/>
          <w:color w:val="434343"/>
          <w:sz w:val="22"/>
          <w:szCs w:val="22"/>
        </w:rPr>
        <w:t xml:space="preserve"> </w:t>
      </w:r>
      <w:r w:rsidRPr="002A2E66">
        <w:rPr>
          <w:rFonts w:ascii="Open Sans" w:eastAsia="Roboto" w:hAnsi="Open Sans" w:cs="Open Sans"/>
          <w:color w:val="434343"/>
          <w:sz w:val="22"/>
          <w:szCs w:val="22"/>
        </w:rPr>
        <w:t xml:space="preserve">infrastructures in order to tackle the future compute and data needs from </w:t>
      </w:r>
      <w:r w:rsidR="001710F1" w:rsidRPr="002A2E66">
        <w:rPr>
          <w:rFonts w:ascii="Open Sans" w:eastAsia="Roboto" w:hAnsi="Open Sans" w:cs="Open Sans"/>
          <w:color w:val="434343"/>
          <w:sz w:val="22"/>
          <w:szCs w:val="22"/>
        </w:rPr>
        <w:t>RI’s</w:t>
      </w:r>
      <w:r w:rsidRPr="002A2E66">
        <w:rPr>
          <w:rFonts w:ascii="Open Sans" w:eastAsia="Roboto" w:hAnsi="Open Sans" w:cs="Open Sans"/>
          <w:color w:val="434343"/>
          <w:sz w:val="22"/>
          <w:szCs w:val="22"/>
        </w:rPr>
        <w:t xml:space="preserve">. As such, proper case studies to understand what the future RI needs will look like and how the evolving technological landscape can be used to tackle those needs. In particular it is needed to incorporate HPC capabilities into data and compute federations that facilitate the adoption, </w:t>
      </w:r>
      <w:r w:rsidR="001710F1" w:rsidRPr="002A2E66">
        <w:rPr>
          <w:rFonts w:ascii="Open Sans" w:eastAsia="Roboto" w:hAnsi="Open Sans" w:cs="Open Sans"/>
          <w:color w:val="434343"/>
          <w:sz w:val="22"/>
          <w:szCs w:val="22"/>
        </w:rPr>
        <w:t>deployment,</w:t>
      </w:r>
      <w:r w:rsidRPr="002A2E66">
        <w:rPr>
          <w:rFonts w:ascii="Open Sans" w:eastAsia="Roboto" w:hAnsi="Open Sans" w:cs="Open Sans"/>
          <w:color w:val="434343"/>
          <w:sz w:val="22"/>
          <w:szCs w:val="22"/>
        </w:rPr>
        <w:t xml:space="preserve"> and operations of Digital Twin-related services. As such there is no clear vision on </w:t>
      </w:r>
      <w:r w:rsidR="001710F1" w:rsidRPr="002A2E66">
        <w:rPr>
          <w:rFonts w:ascii="Open Sans" w:eastAsia="Roboto" w:hAnsi="Open Sans" w:cs="Open Sans"/>
          <w:color w:val="434343"/>
          <w:sz w:val="22"/>
          <w:szCs w:val="22"/>
        </w:rPr>
        <w:t>European</w:t>
      </w:r>
      <w:r w:rsidRPr="002A2E66">
        <w:rPr>
          <w:rFonts w:ascii="Open Sans" w:eastAsia="Roboto" w:hAnsi="Open Sans" w:cs="Open Sans"/>
          <w:color w:val="434343"/>
          <w:sz w:val="22"/>
          <w:szCs w:val="22"/>
        </w:rPr>
        <w:t xml:space="preserve"> HPC resources can be federated with Cloud and HTC infrastructures to democratise the usage of HPC and avoid staying in silo. Access to HPC needs to be </w:t>
      </w:r>
      <w:r w:rsidR="001710F1" w:rsidRPr="002A2E66">
        <w:rPr>
          <w:rFonts w:ascii="Open Sans" w:eastAsia="Roboto" w:hAnsi="Open Sans" w:cs="Open Sans"/>
          <w:color w:val="434343"/>
          <w:sz w:val="22"/>
          <w:szCs w:val="22"/>
        </w:rPr>
        <w:t>extended to</w:t>
      </w:r>
      <w:r w:rsidRPr="002A2E66">
        <w:rPr>
          <w:rFonts w:ascii="Open Sans" w:eastAsia="Roboto" w:hAnsi="Open Sans" w:cs="Open Sans"/>
          <w:color w:val="434343"/>
          <w:sz w:val="22"/>
          <w:szCs w:val="22"/>
        </w:rPr>
        <w:t xml:space="preserve"> enable not only specific closed-</w:t>
      </w:r>
      <w:r w:rsidR="00735D3D" w:rsidRPr="002A2E66">
        <w:rPr>
          <w:rFonts w:ascii="Open Sans" w:eastAsia="Roboto" w:hAnsi="Open Sans" w:cs="Open Sans"/>
          <w:color w:val="434343"/>
          <w:sz w:val="22"/>
          <w:szCs w:val="22"/>
        </w:rPr>
        <w:t>projects -</w:t>
      </w:r>
      <w:r w:rsidRPr="002A2E66">
        <w:rPr>
          <w:rFonts w:ascii="Open Sans" w:eastAsia="Roboto" w:hAnsi="Open Sans" w:cs="Open Sans"/>
          <w:color w:val="434343"/>
          <w:sz w:val="22"/>
          <w:szCs w:val="22"/>
        </w:rPr>
        <w:t xml:space="preserve">but also to support the compute-intensive service-driven operations such as the ones needed by Digital Twins. For Quantum computing, </w:t>
      </w:r>
      <w:r w:rsidR="001710F1" w:rsidRPr="002A2E66">
        <w:rPr>
          <w:rFonts w:ascii="Open Sans" w:eastAsia="Roboto" w:hAnsi="Open Sans" w:cs="Open Sans"/>
          <w:color w:val="434343"/>
          <w:sz w:val="22"/>
          <w:szCs w:val="22"/>
        </w:rPr>
        <w:t>a vision</w:t>
      </w:r>
      <w:r w:rsidRPr="002A2E66">
        <w:rPr>
          <w:rFonts w:ascii="Open Sans" w:eastAsia="Roboto" w:hAnsi="Open Sans" w:cs="Open Sans"/>
          <w:color w:val="434343"/>
          <w:sz w:val="22"/>
          <w:szCs w:val="22"/>
        </w:rPr>
        <w:t xml:space="preserve"> is still needed on how it will be made available to Research Infrastructures.</w:t>
      </w:r>
    </w:p>
    <w:p w14:paraId="1DE7E055" w14:textId="3F3F21E5" w:rsidR="002A2E66" w:rsidRPr="001710F1" w:rsidRDefault="002A2E66" w:rsidP="001710F1">
      <w:pPr>
        <w:pStyle w:val="Heading2"/>
        <w:numPr>
          <w:ilvl w:val="0"/>
          <w:numId w:val="0"/>
        </w:numPr>
        <w:jc w:val="both"/>
        <w:rPr>
          <w:rFonts w:eastAsia="Arial"/>
        </w:rPr>
      </w:pPr>
      <w:bookmarkStart w:id="12" w:name="_Toc158640680"/>
      <w:r w:rsidRPr="002A2E66">
        <w:rPr>
          <w:rFonts w:eastAsia="Arial"/>
        </w:rPr>
        <w:lastRenderedPageBreak/>
        <w:t>Level of connection of your RI to EOSC.</w:t>
      </w:r>
      <w:bookmarkEnd w:id="12"/>
      <w:r w:rsidRPr="002A2E66">
        <w:rPr>
          <w:rFonts w:eastAsia="Arial"/>
        </w:rPr>
        <w:t xml:space="preserve"> </w:t>
      </w:r>
    </w:p>
    <w:p w14:paraId="04CBCBB8" w14:textId="5CFF9790" w:rsidR="002A2E66" w:rsidRPr="001710F1" w:rsidRDefault="002A2E66" w:rsidP="001710F1">
      <w:pPr>
        <w:pBdr>
          <w:top w:val="nil"/>
          <w:left w:val="nil"/>
          <w:bottom w:val="nil"/>
          <w:right w:val="nil"/>
          <w:between w:val="nil"/>
        </w:pBdr>
        <w:spacing w:before="120" w:after="120"/>
        <w:jc w:val="both"/>
        <w:rPr>
          <w:rFonts w:ascii="Open Sans" w:eastAsia="Arial" w:hAnsi="Open Sans" w:cs="Open Sans"/>
          <w:b/>
          <w:color w:val="434343"/>
          <w:sz w:val="22"/>
          <w:szCs w:val="22"/>
        </w:rPr>
      </w:pPr>
      <w:r w:rsidRPr="002A2E66">
        <w:rPr>
          <w:rFonts w:ascii="Open Sans" w:eastAsia="Arial" w:hAnsi="Open Sans" w:cs="Open Sans"/>
          <w:b/>
          <w:color w:val="434343"/>
          <w:sz w:val="22"/>
          <w:szCs w:val="22"/>
        </w:rPr>
        <w:t>interTwin Digital Twin engine components are candidates to become horizontal enabling services for the support of AI/ML applications interested in reusing FAIR research data that is federated and accessed through EOSC.</w:t>
      </w:r>
    </w:p>
    <w:p w14:paraId="1FC97A6E" w14:textId="6D45DFEB" w:rsidR="002A2E66" w:rsidRPr="001710F1" w:rsidRDefault="002A2E66" w:rsidP="001710F1">
      <w:pPr>
        <w:pBdr>
          <w:top w:val="nil"/>
          <w:left w:val="nil"/>
          <w:bottom w:val="nil"/>
          <w:right w:val="nil"/>
          <w:between w:val="nil"/>
        </w:pBdr>
        <w:spacing w:before="120" w:after="120"/>
        <w:jc w:val="both"/>
        <w:rPr>
          <w:rFonts w:ascii="Open Sans" w:eastAsia="Arial" w:hAnsi="Open Sans" w:cs="Open Sans"/>
          <w:color w:val="434343"/>
          <w:sz w:val="22"/>
          <w:szCs w:val="22"/>
        </w:rPr>
      </w:pPr>
      <w:r w:rsidRPr="002A2E66">
        <w:rPr>
          <w:rFonts w:ascii="Open Sans" w:eastAsia="Arial" w:hAnsi="Open Sans" w:cs="Open Sans"/>
          <w:color w:val="434343"/>
          <w:sz w:val="22"/>
          <w:szCs w:val="22"/>
        </w:rPr>
        <w:t xml:space="preserve">interTwin close collaboration with EOSC is one of the key aspects of the project. As such the project is following European Commission Open Science best practices and FAIR principles for all the data and software components developed. Interoperability framework ensures the integration capabilities with EOSC infrastructure and final results will be incorporated into the EOSC Marketplace as the right maturity level is reached. </w:t>
      </w:r>
    </w:p>
    <w:p w14:paraId="0758904F" w14:textId="3CA0F5B8" w:rsidR="002A2E66" w:rsidRPr="002A2E66" w:rsidRDefault="002A2E66" w:rsidP="001710F1">
      <w:pPr>
        <w:pBdr>
          <w:top w:val="nil"/>
          <w:left w:val="nil"/>
          <w:bottom w:val="nil"/>
          <w:right w:val="nil"/>
          <w:between w:val="nil"/>
        </w:pBdr>
        <w:spacing w:before="120" w:after="120"/>
        <w:jc w:val="both"/>
        <w:rPr>
          <w:rFonts w:ascii="Open Sans" w:eastAsia="Arial" w:hAnsi="Open Sans" w:cs="Open Sans"/>
          <w:color w:val="434343"/>
          <w:sz w:val="22"/>
          <w:szCs w:val="22"/>
        </w:rPr>
      </w:pPr>
      <w:r w:rsidRPr="002A2E66">
        <w:rPr>
          <w:rFonts w:ascii="Open Sans" w:eastAsia="Arial" w:hAnsi="Open Sans" w:cs="Open Sans"/>
          <w:color w:val="434343"/>
          <w:sz w:val="22"/>
          <w:szCs w:val="22"/>
          <w:u w:val="single"/>
        </w:rPr>
        <w:t xml:space="preserve">Recommendations: </w:t>
      </w:r>
      <w:r w:rsidRPr="002A2E66">
        <w:rPr>
          <w:rFonts w:ascii="Open Sans" w:eastAsia="Arial" w:hAnsi="Open Sans" w:cs="Open Sans"/>
          <w:color w:val="434343"/>
          <w:sz w:val="22"/>
          <w:szCs w:val="22"/>
        </w:rPr>
        <w:t>Services delivered keep relying on compute and data suppliers that need to provide the access to facilities. In order to ensure the sustainability of the operations. EOSC and EC should think about incorporating those services to be procured and made available via EOSC nodes - as it is done for other services.</w:t>
      </w:r>
    </w:p>
    <w:p w14:paraId="2BB7E006" w14:textId="0EAD55AB" w:rsidR="002A2E66" w:rsidRPr="001710F1" w:rsidRDefault="002A2E66" w:rsidP="001710F1">
      <w:pPr>
        <w:pStyle w:val="Heading2"/>
        <w:numPr>
          <w:ilvl w:val="0"/>
          <w:numId w:val="0"/>
        </w:numPr>
        <w:rPr>
          <w:rFonts w:eastAsia="Arial"/>
        </w:rPr>
      </w:pPr>
      <w:bookmarkStart w:id="13" w:name="_Toc158640681"/>
      <w:r w:rsidRPr="001710F1">
        <w:rPr>
          <w:rFonts w:eastAsia="Arial"/>
        </w:rPr>
        <w:t>Contribution to other research areas and to broader EU priorities.</w:t>
      </w:r>
      <w:bookmarkEnd w:id="13"/>
      <w:r w:rsidRPr="001710F1">
        <w:rPr>
          <w:rFonts w:eastAsia="Arial"/>
        </w:rPr>
        <w:t xml:space="preserve"> </w:t>
      </w:r>
    </w:p>
    <w:p w14:paraId="2CC6F770" w14:textId="750D41AE" w:rsidR="002A2E66" w:rsidRPr="002A2E66" w:rsidRDefault="002A2E66" w:rsidP="00172332">
      <w:pPr>
        <w:pBdr>
          <w:top w:val="nil"/>
          <w:left w:val="nil"/>
          <w:bottom w:val="nil"/>
          <w:right w:val="nil"/>
          <w:between w:val="nil"/>
        </w:pBdr>
        <w:spacing w:before="120" w:after="120"/>
        <w:jc w:val="both"/>
        <w:rPr>
          <w:rFonts w:ascii="Open Sans" w:eastAsia="Arial" w:hAnsi="Open Sans" w:cs="Open Sans"/>
          <w:color w:val="434343"/>
          <w:sz w:val="22"/>
          <w:szCs w:val="22"/>
        </w:rPr>
      </w:pPr>
      <w:r w:rsidRPr="002A2E66">
        <w:rPr>
          <w:rFonts w:ascii="Open Sans" w:eastAsia="Arial" w:hAnsi="Open Sans" w:cs="Open Sans"/>
          <w:color w:val="434343"/>
          <w:sz w:val="22"/>
          <w:szCs w:val="22"/>
        </w:rPr>
        <w:t>interTwin is contributing to the realisation of DestinE initiatives by developing a compatible architecture so that Digital Twins in the project could be hosted in the future in the DestinE DTE and Infrastructure. ECMWF, responsible for the DestinE DTE is a partner in the project, and it’s responsible for this activity and one of the DT use cases in interTwin (FloodAdapt) is being used as one of the reference Digital Twin examples for describing initial DestinE Architecture. interTwin is also helping to federate EuroHPC facilities with Cloud and HTC infrastructures. Recommendation for further impact, institutional support to extend the federation is needed to ensure a broader use, especially those that can leverage exascale capabilities.</w:t>
      </w:r>
    </w:p>
    <w:p w14:paraId="301C5A5F" w14:textId="153453CF" w:rsidR="002A2E66" w:rsidRPr="00172332" w:rsidRDefault="002A2E66" w:rsidP="00172332">
      <w:pPr>
        <w:pStyle w:val="Heading2"/>
        <w:numPr>
          <w:ilvl w:val="0"/>
          <w:numId w:val="0"/>
        </w:numPr>
        <w:rPr>
          <w:rFonts w:eastAsia="Arial"/>
        </w:rPr>
      </w:pPr>
      <w:bookmarkStart w:id="14" w:name="_Toc158640682"/>
      <w:r w:rsidRPr="00172332">
        <w:rPr>
          <w:rFonts w:eastAsia="Arial"/>
        </w:rPr>
        <w:t>Sustainability of research infrastructures.</w:t>
      </w:r>
      <w:bookmarkEnd w:id="14"/>
      <w:r w:rsidRPr="00172332">
        <w:rPr>
          <w:rFonts w:eastAsia="Arial"/>
        </w:rPr>
        <w:t xml:space="preserve"> </w:t>
      </w:r>
    </w:p>
    <w:p w14:paraId="4AC3C2CE" w14:textId="77777777" w:rsidR="002A2E66" w:rsidRPr="002A2E66" w:rsidRDefault="002A2E66" w:rsidP="002A2E66">
      <w:pPr>
        <w:pBdr>
          <w:top w:val="nil"/>
          <w:left w:val="nil"/>
          <w:bottom w:val="nil"/>
          <w:right w:val="nil"/>
          <w:between w:val="nil"/>
        </w:pBdr>
        <w:rPr>
          <w:rFonts w:ascii="Open Sans" w:eastAsia="Arial" w:hAnsi="Open Sans" w:cs="Open Sans"/>
          <w:color w:val="434343"/>
          <w:sz w:val="22"/>
          <w:szCs w:val="22"/>
        </w:rPr>
      </w:pPr>
      <w:r w:rsidRPr="002A2E66">
        <w:rPr>
          <w:rFonts w:ascii="Open Sans" w:eastAsia="Arial" w:hAnsi="Open Sans" w:cs="Open Sans"/>
          <w:color w:val="434343"/>
          <w:sz w:val="22"/>
          <w:szCs w:val="22"/>
        </w:rPr>
        <w:t>Not applicable</w:t>
      </w:r>
    </w:p>
    <w:p w14:paraId="53153FF0" w14:textId="77777777" w:rsidR="002A2E66" w:rsidRPr="002A2E66" w:rsidRDefault="002A2E66" w:rsidP="002A2E66">
      <w:pPr>
        <w:rPr>
          <w:rFonts w:ascii="Open Sans" w:eastAsia="Arial" w:hAnsi="Open Sans" w:cs="Open Sans"/>
          <w:color w:val="434343"/>
          <w:sz w:val="22"/>
          <w:szCs w:val="22"/>
        </w:rPr>
      </w:pPr>
    </w:p>
    <w:p w14:paraId="4998EC79" w14:textId="77777777" w:rsidR="002A2E66" w:rsidRPr="002A2E66" w:rsidRDefault="002A2E66" w:rsidP="00C30FBD">
      <w:pPr>
        <w:rPr>
          <w:rFonts w:ascii="Open Sans" w:hAnsi="Open Sans" w:cs="Open Sans"/>
          <w:color w:val="434343"/>
          <w:sz w:val="22"/>
          <w:szCs w:val="22"/>
        </w:rPr>
      </w:pPr>
    </w:p>
    <w:sectPr w:rsidR="002A2E66" w:rsidRPr="002A2E66" w:rsidSect="00453F29">
      <w:headerReference w:type="default" r:id="rId18"/>
      <w:footerReference w:type="even" r:id="rId19"/>
      <w:footerReference w:type="default" r:id="rId20"/>
      <w:footerReference w:type="first" r:id="rId21"/>
      <w:endnotePr>
        <w:numFmt w:val="decimal"/>
      </w:endnotePr>
      <w:pgSz w:w="11906" w:h="16838"/>
      <w:pgMar w:top="1440" w:right="1440" w:bottom="1440" w:left="1440" w:header="708"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4D348" w14:textId="77777777" w:rsidR="00453F29" w:rsidRDefault="00453F29" w:rsidP="00336A6C">
      <w:r>
        <w:separator/>
      </w:r>
    </w:p>
  </w:endnote>
  <w:endnote w:type="continuationSeparator" w:id="0">
    <w:p w14:paraId="75337A74" w14:textId="77777777" w:rsidR="00453F29" w:rsidRDefault="00453F29" w:rsidP="0033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20B0604020202020204"/>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3116497"/>
      <w:docPartObj>
        <w:docPartGallery w:val="Page Numbers (Bottom of Page)"/>
        <w:docPartUnique/>
      </w:docPartObj>
    </w:sdtPr>
    <w:sdtContent>
      <w:p w14:paraId="0A608289" w14:textId="77777777" w:rsidR="00490CC7" w:rsidRDefault="00490CC7" w:rsidP="00A943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7C7AF1" w14:textId="77777777" w:rsidR="00813E07" w:rsidRDefault="00813E07" w:rsidP="00490C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1168215"/>
      <w:docPartObj>
        <w:docPartGallery w:val="Page Numbers (Bottom of Page)"/>
        <w:docPartUnique/>
      </w:docPartObj>
    </w:sdtPr>
    <w:sdtContent>
      <w:p w14:paraId="17048E08" w14:textId="77777777" w:rsidR="00490CC7" w:rsidRDefault="00490CC7" w:rsidP="00A943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C98D3E" w14:textId="77777777" w:rsidR="00A830D7" w:rsidRPr="00FB28CC" w:rsidRDefault="00FB28CC" w:rsidP="00FB28CC">
    <w:pPr>
      <w:pStyle w:val="NoSpacing"/>
    </w:pPr>
    <w:r w:rsidRPr="00FB28CC">
      <w:rPr>
        <w:noProof/>
        <w:lang w:val="en-US"/>
      </w:rPr>
      <w:drawing>
        <wp:anchor distT="0" distB="0" distL="114300" distR="114300" simplePos="0" relativeHeight="251660288" behindDoc="0" locked="0" layoutInCell="1" allowOverlap="1" wp14:anchorId="71B8E1AD" wp14:editId="5CB6B0A4">
          <wp:simplePos x="0" y="0"/>
          <wp:positionH relativeFrom="margin">
            <wp:posOffset>2565400</wp:posOffset>
          </wp:positionH>
          <wp:positionV relativeFrom="margin">
            <wp:posOffset>9008110</wp:posOffset>
          </wp:positionV>
          <wp:extent cx="417830" cy="417830"/>
          <wp:effectExtent l="0" t="0" r="1270" b="1270"/>
          <wp:wrapSquare wrapText="bothSides"/>
          <wp:docPr id="7" name="Picture 7" descr="Logo interTwin Ico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nterTwin Icon Black"/>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17830" cy="417830"/>
                  </a:xfrm>
                  <a:prstGeom prst="rect">
                    <a:avLst/>
                  </a:prstGeom>
                </pic:spPr>
              </pic:pic>
            </a:graphicData>
          </a:graphic>
        </wp:anchor>
      </w:drawing>
    </w:r>
    <w:r w:rsidR="00A830D7" w:rsidRPr="00FB28CC">
      <w:t xml:space="preserve">interTwin </w:t>
    </w:r>
    <w:r w:rsidR="001F247C" w:rsidRPr="00FB28CC">
      <w:t>–</w:t>
    </w:r>
    <w:r w:rsidR="00A830D7" w:rsidRPr="00FB28CC">
      <w:t xml:space="preserve"> 101058386</w:t>
    </w:r>
    <w:r w:rsidR="001F247C" w:rsidRPr="00FB28CC">
      <w:tab/>
    </w:r>
    <w:r w:rsidR="001F247C" w:rsidRPr="00FB28CC">
      <w:rPr>
        <w:lang w:eastAsia="en-GB"/>
      </w:rPr>
      <w:t xml:space="preserve">                </w:t>
    </w:r>
    <w:r w:rsidR="00A830D7" w:rsidRPr="00FB28CC">
      <w:rPr>
        <w:b/>
        <w:lang w:eastAsia="en-GB"/>
      </w:rPr>
      <w:t xml:space="preserve"> </w:t>
    </w:r>
    <w:r>
      <w:rPr>
        <w:b/>
        <w:lang w:eastAsia="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A139" w14:textId="77777777" w:rsidR="0062500F" w:rsidRPr="0062500F" w:rsidRDefault="0062500F" w:rsidP="00813E07">
    <w:pPr>
      <w:ind w:right="360"/>
      <w:jc w:val="center"/>
      <w:rPr>
        <w:color w:val="EF8200"/>
      </w:rPr>
    </w:pPr>
    <w:r w:rsidRPr="003D16A5">
      <w:rPr>
        <w:b/>
        <w:bCs/>
        <w:noProof/>
      </w:rPr>
      <w:drawing>
        <wp:anchor distT="0" distB="0" distL="114300" distR="114300" simplePos="0" relativeHeight="251659264" behindDoc="1" locked="0" layoutInCell="1" allowOverlap="1" wp14:anchorId="67A37B16" wp14:editId="05B5F055">
          <wp:simplePos x="0" y="0"/>
          <wp:positionH relativeFrom="column">
            <wp:posOffset>1458410</wp:posOffset>
          </wp:positionH>
          <wp:positionV relativeFrom="paragraph">
            <wp:posOffset>172399</wp:posOffset>
          </wp:positionV>
          <wp:extent cx="2646045" cy="875665"/>
          <wp:effectExtent l="0" t="0" r="0" b="635"/>
          <wp:wrapTopAndBottom/>
          <wp:docPr id="6" name="image1.png" descr="A picture containing ch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ch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646045" cy="875665"/>
                  </a:xfrm>
                  <a:prstGeom prst="rect">
                    <a:avLst/>
                  </a:prstGeom>
                  <a:ln/>
                </pic:spPr>
              </pic:pic>
            </a:graphicData>
          </a:graphic>
          <wp14:sizeRelH relativeFrom="page">
            <wp14:pctWidth>0</wp14:pctWidth>
          </wp14:sizeRelH>
          <wp14:sizeRelV relativeFrom="page">
            <wp14:pctHeight>0</wp14:pctHeight>
          </wp14:sizeRelV>
        </wp:anchor>
      </w:drawing>
    </w:r>
    <w:r w:rsidR="003D16A5" w:rsidRPr="003D16A5">
      <w:rPr>
        <w:b/>
        <w:bCs/>
        <w:color w:val="EF8200"/>
        <w:lang w:val="en-US"/>
      </w:rPr>
      <w:t>Disclaimer:</w:t>
    </w:r>
    <w:r w:rsidR="003D16A5">
      <w:rPr>
        <w:color w:val="EF8200"/>
        <w:lang w:val="en-US"/>
      </w:rPr>
      <w:t xml:space="preserve"> </w:t>
    </w:r>
    <w:r>
      <w:rPr>
        <w:color w:val="EF8200"/>
      </w:rPr>
      <w:t>Views and opinions expressed are however those of the author(s) only and do not necessarily reflect those of the European Union. Neither the European Union nor the granting authority can be held responsible for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11091" w14:textId="77777777" w:rsidR="00453F29" w:rsidRDefault="00453F29" w:rsidP="00336A6C">
      <w:r>
        <w:separator/>
      </w:r>
    </w:p>
  </w:footnote>
  <w:footnote w:type="continuationSeparator" w:id="0">
    <w:p w14:paraId="17F242A3" w14:textId="77777777" w:rsidR="00453F29" w:rsidRDefault="00453F29" w:rsidP="00336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EE0F" w14:textId="7D0CCC0F" w:rsidR="007674C0" w:rsidRPr="00DD769F" w:rsidRDefault="00A02949" w:rsidP="007674C0">
    <w:pPr>
      <w:ind w:left="720" w:right="-891" w:hanging="720"/>
      <w:rPr>
        <w:rFonts w:ascii="Open Sans" w:hAnsi="Open Sans" w:cs="Open Sans"/>
        <w:b/>
        <w:i/>
        <w:color w:val="EF8200"/>
      </w:rPr>
    </w:pPr>
    <w:r w:rsidRPr="003A4C3C">
      <w:rPr>
        <w:rFonts w:ascii="Open Sans" w:hAnsi="Open Sans" w:cs="Open Sans"/>
        <w:i/>
      </w:rPr>
      <w:t>RP1 POLICY BRIEF</w:t>
    </w:r>
    <w:r w:rsidR="007674C0" w:rsidRPr="003A4C3C">
      <w:rPr>
        <w:rFonts w:ascii="Open Sans" w:hAnsi="Open Sans" w:cs="Open Sans"/>
        <w:i/>
      </w:rPr>
      <w:tab/>
    </w:r>
    <w:r w:rsidR="007674C0" w:rsidRPr="003A4C3C">
      <w:rPr>
        <w:rFonts w:ascii="Open Sans" w:hAnsi="Open Sans" w:cs="Open Sans"/>
        <w:i/>
      </w:rPr>
      <w:tab/>
    </w:r>
    <w:r w:rsidR="007674C0" w:rsidRPr="003A4C3C">
      <w:rPr>
        <w:rFonts w:ascii="Open Sans" w:hAnsi="Open Sans" w:cs="Open Sans"/>
        <w:i/>
      </w:rPr>
      <w:tab/>
    </w:r>
    <w:r w:rsidR="007674C0" w:rsidRPr="003A4C3C">
      <w:rPr>
        <w:rFonts w:ascii="Open Sans" w:hAnsi="Open Sans" w:cs="Open Sans"/>
        <w:i/>
      </w:rPr>
      <w:tab/>
      <w:t xml:space="preserve">           </w:t>
    </w:r>
  </w:p>
  <w:p w14:paraId="6982A218" w14:textId="77777777" w:rsidR="007674C0" w:rsidRDefault="00767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C71"/>
    <w:multiLevelType w:val="multilevel"/>
    <w:tmpl w:val="0809001F"/>
    <w:numStyleLink w:val="111111"/>
  </w:abstractNum>
  <w:abstractNum w:abstractNumId="1" w15:restartNumberingAfterBreak="0">
    <w:nsid w:val="0F9B71F7"/>
    <w:multiLevelType w:val="multilevel"/>
    <w:tmpl w:val="26387796"/>
    <w:lvl w:ilvl="0">
      <w:start w:val="1"/>
      <w:numFmt w:val="decimal"/>
      <w:lvlText w:val="%1."/>
      <w:lvlJc w:val="left"/>
      <w:pPr>
        <w:ind w:left="814" w:hanging="247"/>
      </w:pPr>
      <w:rPr>
        <w:rFonts w:ascii="Open Sans" w:hAnsi="Open Sans" w:hint="default"/>
        <w:b w:val="0"/>
        <w:i w:val="0"/>
        <w:color w:val="434343"/>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E831F0"/>
    <w:multiLevelType w:val="multilevel"/>
    <w:tmpl w:val="CC6609C4"/>
    <w:lvl w:ilvl="0">
      <w:start w:val="1"/>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705E52"/>
    <w:multiLevelType w:val="multilevel"/>
    <w:tmpl w:val="1EE6C172"/>
    <w:lvl w:ilvl="0">
      <w:start w:val="1"/>
      <w:numFmt w:val="decimal"/>
      <w:lvlText w:val="%1."/>
      <w:lvlJc w:val="left"/>
      <w:pPr>
        <w:ind w:left="247" w:hanging="247"/>
      </w:pPr>
      <w:rPr>
        <w:rFonts w:ascii="Open Sans" w:hAnsi="Open Sans" w:hint="default"/>
        <w:b w:val="0"/>
        <w:i w:val="0"/>
        <w:color w:val="434343"/>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E6A6B"/>
    <w:multiLevelType w:val="multilevel"/>
    <w:tmpl w:val="B6763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217007"/>
    <w:multiLevelType w:val="hybridMultilevel"/>
    <w:tmpl w:val="EF38D81C"/>
    <w:lvl w:ilvl="0" w:tplc="0809000F">
      <w:start w:val="1"/>
      <w:numFmt w:val="decimal"/>
      <w:lvlText w:val="%1."/>
      <w:lvlJc w:val="left"/>
      <w:pPr>
        <w:ind w:left="720" w:hanging="360"/>
      </w:pPr>
      <w:rPr>
        <w:rFonts w:hint="default"/>
        <w:b w:val="0"/>
        <w:i w:val="0"/>
        <w:color w:val="43434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E76CE0"/>
    <w:multiLevelType w:val="hybridMultilevel"/>
    <w:tmpl w:val="8AC05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185AB0"/>
    <w:multiLevelType w:val="hybridMultilevel"/>
    <w:tmpl w:val="B0A2C690"/>
    <w:lvl w:ilvl="0" w:tplc="F596338C">
      <w:start w:val="1"/>
      <w:numFmt w:val="bullet"/>
      <w:lvlText w:val=""/>
      <w:lvlJc w:val="left"/>
      <w:pPr>
        <w:ind w:left="720" w:hanging="360"/>
      </w:pPr>
      <w:rPr>
        <w:rFonts w:ascii="Symbol" w:hAnsi="Symbol" w:hint="default"/>
        <w:b w:val="0"/>
        <w:i w:val="0"/>
        <w:color w:val="EF820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E5F2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51245D"/>
    <w:multiLevelType w:val="hybridMultilevel"/>
    <w:tmpl w:val="3F8EA496"/>
    <w:lvl w:ilvl="0" w:tplc="F8D6E474">
      <w:start w:val="1"/>
      <w:numFmt w:val="bullet"/>
      <w:lvlText w:val=""/>
      <w:lvlJc w:val="left"/>
      <w:pPr>
        <w:ind w:left="0" w:firstLine="207"/>
      </w:pPr>
      <w:rPr>
        <w:rFonts w:ascii="Symbol" w:hAnsi="Symbol" w:hint="default"/>
        <w:b w:val="0"/>
        <w:i w:val="0"/>
        <w:color w:val="EF8200"/>
        <w:spacing w:val="0"/>
        <w:position w:val="0"/>
        <w:sz w:val="2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15:restartNumberingAfterBreak="0">
    <w:nsid w:val="3204086D"/>
    <w:multiLevelType w:val="hybridMultilevel"/>
    <w:tmpl w:val="B6601106"/>
    <w:lvl w:ilvl="0" w:tplc="15801C5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1B5549"/>
    <w:multiLevelType w:val="multilevel"/>
    <w:tmpl w:val="286AE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0A60AE"/>
    <w:multiLevelType w:val="multilevel"/>
    <w:tmpl w:val="00E4A0D2"/>
    <w:lvl w:ilvl="0">
      <w:start w:val="1"/>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467A40"/>
    <w:multiLevelType w:val="hybridMultilevel"/>
    <w:tmpl w:val="80DA95E8"/>
    <w:lvl w:ilvl="0" w:tplc="F596338C">
      <w:start w:val="1"/>
      <w:numFmt w:val="bullet"/>
      <w:lvlText w:val=""/>
      <w:lvlJc w:val="left"/>
      <w:pPr>
        <w:ind w:left="720" w:hanging="360"/>
      </w:pPr>
      <w:rPr>
        <w:rFonts w:ascii="Symbol" w:hAnsi="Symbol" w:hint="default"/>
        <w:b w:val="0"/>
        <w:i w:val="0"/>
        <w:color w:val="EF820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C6154"/>
    <w:multiLevelType w:val="multilevel"/>
    <w:tmpl w:val="E0DC0D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59947BF"/>
    <w:multiLevelType w:val="hybridMultilevel"/>
    <w:tmpl w:val="F1528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CB2617"/>
    <w:multiLevelType w:val="multilevel"/>
    <w:tmpl w:val="95B017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791F9A"/>
    <w:multiLevelType w:val="multilevel"/>
    <w:tmpl w:val="3A1A7198"/>
    <w:styleLink w:val="CurrentList2"/>
    <w:lvl w:ilvl="0">
      <w:start w:val="1"/>
      <w:numFmt w:val="decimal"/>
      <w:lvlText w:val="%1."/>
      <w:lvlJc w:val="left"/>
      <w:pPr>
        <w:ind w:left="814" w:hanging="247"/>
      </w:pPr>
      <w:rPr>
        <w:rFonts w:ascii="Open Sans" w:hAnsi="Open Sans" w:hint="default"/>
        <w:b w:val="0"/>
        <w:i w:val="0"/>
        <w:color w:val="434343"/>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A0A36AC"/>
    <w:multiLevelType w:val="hybridMultilevel"/>
    <w:tmpl w:val="581EE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D43DF1"/>
    <w:multiLevelType w:val="multilevel"/>
    <w:tmpl w:val="25186F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CB87CCD"/>
    <w:multiLevelType w:val="multilevel"/>
    <w:tmpl w:val="25186F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33E424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573606D8"/>
    <w:multiLevelType w:val="hybridMultilevel"/>
    <w:tmpl w:val="5A9C6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7A1BC4"/>
    <w:multiLevelType w:val="hybridMultilevel"/>
    <w:tmpl w:val="D4BCA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E8776B"/>
    <w:multiLevelType w:val="multilevel"/>
    <w:tmpl w:val="10284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84152CE"/>
    <w:multiLevelType w:val="multilevel"/>
    <w:tmpl w:val="1EE6C172"/>
    <w:lvl w:ilvl="0">
      <w:start w:val="1"/>
      <w:numFmt w:val="decimal"/>
      <w:lvlText w:val="%1."/>
      <w:lvlJc w:val="left"/>
      <w:pPr>
        <w:ind w:left="247" w:hanging="247"/>
      </w:pPr>
      <w:rPr>
        <w:rFonts w:ascii="Open Sans" w:hAnsi="Open Sans" w:hint="default"/>
        <w:b w:val="0"/>
        <w:i w:val="0"/>
        <w:color w:val="434343"/>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137E10"/>
    <w:multiLevelType w:val="hybridMultilevel"/>
    <w:tmpl w:val="3AD0AB26"/>
    <w:lvl w:ilvl="0" w:tplc="93DE350A">
      <w:start w:val="1"/>
      <w:numFmt w:val="bullet"/>
      <w:lvlText w:val=""/>
      <w:lvlJc w:val="left"/>
      <w:pPr>
        <w:ind w:left="720" w:hanging="360"/>
      </w:pPr>
      <w:rPr>
        <w:rFonts w:ascii="Symbol" w:hAnsi="Symbol" w:hint="default"/>
        <w:b w:val="0"/>
        <w:i w:val="0"/>
        <w:color w:val="EF8200"/>
        <w:spacing w:val="0"/>
        <w:position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364266"/>
    <w:multiLevelType w:val="multilevel"/>
    <w:tmpl w:val="4D8A1CE0"/>
    <w:styleLink w:val="CurrentList3"/>
    <w:lvl w:ilvl="0">
      <w:start w:val="3"/>
      <w:numFmt w:val="decimal"/>
      <w:lvlText w:val="%1."/>
      <w:lvlJc w:val="left"/>
      <w:pPr>
        <w:ind w:left="1080" w:hanging="720"/>
      </w:pPr>
      <w:rPr>
        <w:rFonts w:hint="default"/>
      </w:rPr>
    </w:lvl>
    <w:lvl w:ilvl="1">
      <w:start w:val="1"/>
      <w:numFmt w:val="decimal"/>
      <w:lvlText w:val="%1.%2"/>
      <w:lvlJc w:val="left"/>
      <w:pPr>
        <w:ind w:left="900" w:hanging="540"/>
      </w:p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76BC6672"/>
    <w:multiLevelType w:val="multilevel"/>
    <w:tmpl w:val="C6763EF4"/>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CA10D3"/>
    <w:multiLevelType w:val="hybridMultilevel"/>
    <w:tmpl w:val="D038A21C"/>
    <w:lvl w:ilvl="0" w:tplc="F596338C">
      <w:start w:val="1"/>
      <w:numFmt w:val="bullet"/>
      <w:lvlText w:val=""/>
      <w:lvlJc w:val="left"/>
      <w:pPr>
        <w:ind w:left="927" w:hanging="360"/>
      </w:pPr>
      <w:rPr>
        <w:rFonts w:ascii="Symbol" w:hAnsi="Symbol" w:hint="default"/>
        <w:b w:val="0"/>
        <w:i w:val="0"/>
        <w:color w:val="EF8200"/>
        <w:spacing w:val="0"/>
        <w:position w:val="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4147924">
    <w:abstractNumId w:val="11"/>
  </w:num>
  <w:num w:numId="2" w16cid:durableId="1829981914">
    <w:abstractNumId w:val="18"/>
  </w:num>
  <w:num w:numId="3" w16cid:durableId="1155563430">
    <w:abstractNumId w:val="23"/>
  </w:num>
  <w:num w:numId="4" w16cid:durableId="1721397829">
    <w:abstractNumId w:val="6"/>
  </w:num>
  <w:num w:numId="5" w16cid:durableId="1106802737">
    <w:abstractNumId w:val="15"/>
  </w:num>
  <w:num w:numId="6" w16cid:durableId="2064524698">
    <w:abstractNumId w:val="9"/>
  </w:num>
  <w:num w:numId="7" w16cid:durableId="1870681376">
    <w:abstractNumId w:val="25"/>
  </w:num>
  <w:num w:numId="8" w16cid:durableId="1962690548">
    <w:abstractNumId w:val="25"/>
  </w:num>
  <w:num w:numId="9" w16cid:durableId="33774668">
    <w:abstractNumId w:val="8"/>
  </w:num>
  <w:num w:numId="10" w16cid:durableId="147477170">
    <w:abstractNumId w:val="16"/>
  </w:num>
  <w:num w:numId="11" w16cid:durableId="15311433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979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67138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1936326">
    <w:abstractNumId w:val="20"/>
  </w:num>
  <w:num w:numId="15" w16cid:durableId="2114283154">
    <w:abstractNumId w:val="19"/>
  </w:num>
  <w:num w:numId="16" w16cid:durableId="13539167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0244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8442204">
    <w:abstractNumId w:val="12"/>
  </w:num>
  <w:num w:numId="19" w16cid:durableId="1940094861">
    <w:abstractNumId w:val="28"/>
  </w:num>
  <w:num w:numId="20" w16cid:durableId="383675719">
    <w:abstractNumId w:val="1"/>
  </w:num>
  <w:num w:numId="21" w16cid:durableId="6008410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6165128">
    <w:abstractNumId w:val="1"/>
  </w:num>
  <w:num w:numId="23" w16cid:durableId="358700030">
    <w:abstractNumId w:val="1"/>
  </w:num>
  <w:num w:numId="24" w16cid:durableId="62029205">
    <w:abstractNumId w:val="17"/>
  </w:num>
  <w:num w:numId="25" w16cid:durableId="2261876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3706360">
    <w:abstractNumId w:val="0"/>
  </w:num>
  <w:num w:numId="27" w16cid:durableId="2002273331">
    <w:abstractNumId w:val="2"/>
  </w:num>
  <w:num w:numId="28" w16cid:durableId="50590115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61223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763913">
    <w:abstractNumId w:val="27"/>
  </w:num>
  <w:num w:numId="31" w16cid:durableId="1758481099">
    <w:abstractNumId w:val="3"/>
  </w:num>
  <w:num w:numId="32" w16cid:durableId="23294205">
    <w:abstractNumId w:val="12"/>
  </w:num>
  <w:num w:numId="33" w16cid:durableId="72091432">
    <w:abstractNumId w:val="14"/>
  </w:num>
  <w:num w:numId="34" w16cid:durableId="698623804">
    <w:abstractNumId w:val="21"/>
  </w:num>
  <w:num w:numId="35" w16cid:durableId="1530223561">
    <w:abstractNumId w:val="29"/>
  </w:num>
  <w:num w:numId="36" w16cid:durableId="1155074046">
    <w:abstractNumId w:val="13"/>
  </w:num>
  <w:num w:numId="37" w16cid:durableId="662852871">
    <w:abstractNumId w:val="7"/>
  </w:num>
  <w:num w:numId="38" w16cid:durableId="540478410">
    <w:abstractNumId w:val="26"/>
  </w:num>
  <w:num w:numId="39" w16cid:durableId="1801920514">
    <w:abstractNumId w:val="5"/>
  </w:num>
  <w:num w:numId="40" w16cid:durableId="601575539">
    <w:abstractNumId w:val="10"/>
  </w:num>
  <w:num w:numId="41" w16cid:durableId="374501061">
    <w:abstractNumId w:val="4"/>
  </w:num>
  <w:num w:numId="42" w16cid:durableId="1463188593">
    <w:abstractNumId w:val="22"/>
  </w:num>
  <w:num w:numId="43" w16cid:durableId="702292782">
    <w:abstractNumId w:val="24"/>
  </w:num>
  <w:num w:numId="44" w16cid:durableId="396435744">
    <w:abstractNumId w:val="21"/>
  </w:num>
  <w:num w:numId="45" w16cid:durableId="683869469">
    <w:abstractNumId w:val="21"/>
  </w:num>
  <w:num w:numId="46" w16cid:durableId="844176068">
    <w:abstractNumId w:val="21"/>
  </w:num>
  <w:num w:numId="47" w16cid:durableId="1808189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1NDG0MDMyszAHYiUdpeDU4uLM/DyQAuNaAMzi+acsAAAA"/>
  </w:docVars>
  <w:rsids>
    <w:rsidRoot w:val="00A7366C"/>
    <w:rsid w:val="000121DB"/>
    <w:rsid w:val="00046889"/>
    <w:rsid w:val="0007714B"/>
    <w:rsid w:val="00087105"/>
    <w:rsid w:val="00087506"/>
    <w:rsid w:val="000876EE"/>
    <w:rsid w:val="0009269C"/>
    <w:rsid w:val="000928D4"/>
    <w:rsid w:val="00093A17"/>
    <w:rsid w:val="00093BA5"/>
    <w:rsid w:val="0009411E"/>
    <w:rsid w:val="00095F24"/>
    <w:rsid w:val="000A39FA"/>
    <w:rsid w:val="000B4F01"/>
    <w:rsid w:val="000C0830"/>
    <w:rsid w:val="000D1A18"/>
    <w:rsid w:val="000D3448"/>
    <w:rsid w:val="000D78B7"/>
    <w:rsid w:val="000E00A4"/>
    <w:rsid w:val="000E100F"/>
    <w:rsid w:val="000E2F93"/>
    <w:rsid w:val="000E49CC"/>
    <w:rsid w:val="000E522E"/>
    <w:rsid w:val="000E5C39"/>
    <w:rsid w:val="000F65DB"/>
    <w:rsid w:val="001078CD"/>
    <w:rsid w:val="0011197F"/>
    <w:rsid w:val="00117A54"/>
    <w:rsid w:val="00124FCB"/>
    <w:rsid w:val="00126211"/>
    <w:rsid w:val="00143088"/>
    <w:rsid w:val="001452FE"/>
    <w:rsid w:val="001471B6"/>
    <w:rsid w:val="00161C3F"/>
    <w:rsid w:val="00164B0D"/>
    <w:rsid w:val="001674F1"/>
    <w:rsid w:val="00170F54"/>
    <w:rsid w:val="001710F1"/>
    <w:rsid w:val="00172332"/>
    <w:rsid w:val="00172993"/>
    <w:rsid w:val="00174FCA"/>
    <w:rsid w:val="00175670"/>
    <w:rsid w:val="00192156"/>
    <w:rsid w:val="001B4847"/>
    <w:rsid w:val="001C0A1E"/>
    <w:rsid w:val="001C13DC"/>
    <w:rsid w:val="001D0EED"/>
    <w:rsid w:val="001D5C21"/>
    <w:rsid w:val="001F247C"/>
    <w:rsid w:val="00211D1A"/>
    <w:rsid w:val="00214BE4"/>
    <w:rsid w:val="00237A31"/>
    <w:rsid w:val="0025390C"/>
    <w:rsid w:val="00285358"/>
    <w:rsid w:val="00287ADA"/>
    <w:rsid w:val="00297270"/>
    <w:rsid w:val="002A259A"/>
    <w:rsid w:val="002A2E66"/>
    <w:rsid w:val="002B3F9F"/>
    <w:rsid w:val="002D465B"/>
    <w:rsid w:val="002D552A"/>
    <w:rsid w:val="002E2943"/>
    <w:rsid w:val="00322182"/>
    <w:rsid w:val="0032310F"/>
    <w:rsid w:val="0032580E"/>
    <w:rsid w:val="003324F1"/>
    <w:rsid w:val="00336A6C"/>
    <w:rsid w:val="00346997"/>
    <w:rsid w:val="0034721D"/>
    <w:rsid w:val="00356FF6"/>
    <w:rsid w:val="0035745A"/>
    <w:rsid w:val="00371D34"/>
    <w:rsid w:val="00373293"/>
    <w:rsid w:val="0038062E"/>
    <w:rsid w:val="00384534"/>
    <w:rsid w:val="003912C0"/>
    <w:rsid w:val="003A4C3C"/>
    <w:rsid w:val="003B0851"/>
    <w:rsid w:val="003B39A5"/>
    <w:rsid w:val="003D16A5"/>
    <w:rsid w:val="003D42FF"/>
    <w:rsid w:val="003D55CF"/>
    <w:rsid w:val="003D6194"/>
    <w:rsid w:val="003E0178"/>
    <w:rsid w:val="003E3DE0"/>
    <w:rsid w:val="003F3B9F"/>
    <w:rsid w:val="003F7F57"/>
    <w:rsid w:val="00413E52"/>
    <w:rsid w:val="00420D9B"/>
    <w:rsid w:val="004252D2"/>
    <w:rsid w:val="0042640C"/>
    <w:rsid w:val="00435DC7"/>
    <w:rsid w:val="004455B7"/>
    <w:rsid w:val="004537BE"/>
    <w:rsid w:val="00453F29"/>
    <w:rsid w:val="00454A92"/>
    <w:rsid w:val="00457103"/>
    <w:rsid w:val="0048519E"/>
    <w:rsid w:val="004854E6"/>
    <w:rsid w:val="00485D0B"/>
    <w:rsid w:val="00490CC7"/>
    <w:rsid w:val="00493352"/>
    <w:rsid w:val="004B059C"/>
    <w:rsid w:val="004B0D65"/>
    <w:rsid w:val="004B1953"/>
    <w:rsid w:val="004B54E7"/>
    <w:rsid w:val="004B7729"/>
    <w:rsid w:val="004C29D3"/>
    <w:rsid w:val="004D123C"/>
    <w:rsid w:val="004E4C85"/>
    <w:rsid w:val="004F6041"/>
    <w:rsid w:val="004F6522"/>
    <w:rsid w:val="005030B7"/>
    <w:rsid w:val="0051057E"/>
    <w:rsid w:val="00513C1E"/>
    <w:rsid w:val="00520F22"/>
    <w:rsid w:val="00522206"/>
    <w:rsid w:val="005341FF"/>
    <w:rsid w:val="00541C6E"/>
    <w:rsid w:val="00541DE7"/>
    <w:rsid w:val="005430E6"/>
    <w:rsid w:val="00551516"/>
    <w:rsid w:val="005529C6"/>
    <w:rsid w:val="0055551E"/>
    <w:rsid w:val="00561158"/>
    <w:rsid w:val="00564345"/>
    <w:rsid w:val="00566393"/>
    <w:rsid w:val="00572D01"/>
    <w:rsid w:val="00584D50"/>
    <w:rsid w:val="00591CFC"/>
    <w:rsid w:val="005A1F2B"/>
    <w:rsid w:val="005A571E"/>
    <w:rsid w:val="005B0BEE"/>
    <w:rsid w:val="005C129B"/>
    <w:rsid w:val="005C6012"/>
    <w:rsid w:val="005C7A1D"/>
    <w:rsid w:val="005D0F9B"/>
    <w:rsid w:val="005E523F"/>
    <w:rsid w:val="00600C0B"/>
    <w:rsid w:val="0061790B"/>
    <w:rsid w:val="0062500F"/>
    <w:rsid w:val="0063113F"/>
    <w:rsid w:val="006321B7"/>
    <w:rsid w:val="00634632"/>
    <w:rsid w:val="00634F4A"/>
    <w:rsid w:val="00646459"/>
    <w:rsid w:val="006468F2"/>
    <w:rsid w:val="00660901"/>
    <w:rsid w:val="0066466E"/>
    <w:rsid w:val="00671AE7"/>
    <w:rsid w:val="006721FB"/>
    <w:rsid w:val="00674547"/>
    <w:rsid w:val="00680A1C"/>
    <w:rsid w:val="00684FE5"/>
    <w:rsid w:val="00686A6D"/>
    <w:rsid w:val="00687823"/>
    <w:rsid w:val="006918D4"/>
    <w:rsid w:val="0069203E"/>
    <w:rsid w:val="006A4881"/>
    <w:rsid w:val="006A4CC8"/>
    <w:rsid w:val="006C3B63"/>
    <w:rsid w:val="006C6DE5"/>
    <w:rsid w:val="006F1EF6"/>
    <w:rsid w:val="006F2CC5"/>
    <w:rsid w:val="006F7378"/>
    <w:rsid w:val="00714963"/>
    <w:rsid w:val="00734A48"/>
    <w:rsid w:val="00735D3D"/>
    <w:rsid w:val="00760997"/>
    <w:rsid w:val="007674C0"/>
    <w:rsid w:val="0078104B"/>
    <w:rsid w:val="007A2873"/>
    <w:rsid w:val="007A43FC"/>
    <w:rsid w:val="007B5F9E"/>
    <w:rsid w:val="007C0714"/>
    <w:rsid w:val="007F2414"/>
    <w:rsid w:val="008069F0"/>
    <w:rsid w:val="00813E07"/>
    <w:rsid w:val="008212F9"/>
    <w:rsid w:val="00850409"/>
    <w:rsid w:val="00854C33"/>
    <w:rsid w:val="00881D7E"/>
    <w:rsid w:val="008826DD"/>
    <w:rsid w:val="008852E4"/>
    <w:rsid w:val="008943EF"/>
    <w:rsid w:val="008B4E9D"/>
    <w:rsid w:val="008B7FA8"/>
    <w:rsid w:val="008C5763"/>
    <w:rsid w:val="008D61C4"/>
    <w:rsid w:val="008E77D0"/>
    <w:rsid w:val="008F5C50"/>
    <w:rsid w:val="009023F6"/>
    <w:rsid w:val="00903FA1"/>
    <w:rsid w:val="0091346D"/>
    <w:rsid w:val="00916B7C"/>
    <w:rsid w:val="00922361"/>
    <w:rsid w:val="0095177B"/>
    <w:rsid w:val="00956DB7"/>
    <w:rsid w:val="0098048C"/>
    <w:rsid w:val="009A4B36"/>
    <w:rsid w:val="009C4FD6"/>
    <w:rsid w:val="009D12B8"/>
    <w:rsid w:val="009E56AA"/>
    <w:rsid w:val="00A02949"/>
    <w:rsid w:val="00A10166"/>
    <w:rsid w:val="00A170E4"/>
    <w:rsid w:val="00A226D2"/>
    <w:rsid w:val="00A3032D"/>
    <w:rsid w:val="00A35BDA"/>
    <w:rsid w:val="00A3678B"/>
    <w:rsid w:val="00A44FC7"/>
    <w:rsid w:val="00A51EE9"/>
    <w:rsid w:val="00A5393F"/>
    <w:rsid w:val="00A555A0"/>
    <w:rsid w:val="00A612F6"/>
    <w:rsid w:val="00A7366C"/>
    <w:rsid w:val="00A75711"/>
    <w:rsid w:val="00A75EA5"/>
    <w:rsid w:val="00A830D7"/>
    <w:rsid w:val="00A85F75"/>
    <w:rsid w:val="00A87AEF"/>
    <w:rsid w:val="00A92D04"/>
    <w:rsid w:val="00A96471"/>
    <w:rsid w:val="00A96B70"/>
    <w:rsid w:val="00A96EF2"/>
    <w:rsid w:val="00AA31F8"/>
    <w:rsid w:val="00AA3701"/>
    <w:rsid w:val="00AB7C2C"/>
    <w:rsid w:val="00AC6B28"/>
    <w:rsid w:val="00AD1DF8"/>
    <w:rsid w:val="00AE39A1"/>
    <w:rsid w:val="00AE3BE9"/>
    <w:rsid w:val="00AE5460"/>
    <w:rsid w:val="00AF0058"/>
    <w:rsid w:val="00AF775E"/>
    <w:rsid w:val="00B0218F"/>
    <w:rsid w:val="00B2252E"/>
    <w:rsid w:val="00B23BF4"/>
    <w:rsid w:val="00B32A4F"/>
    <w:rsid w:val="00B37D20"/>
    <w:rsid w:val="00B40B41"/>
    <w:rsid w:val="00B54F17"/>
    <w:rsid w:val="00B56756"/>
    <w:rsid w:val="00B75EB8"/>
    <w:rsid w:val="00B776A2"/>
    <w:rsid w:val="00B92F95"/>
    <w:rsid w:val="00BB2FEA"/>
    <w:rsid w:val="00BB5808"/>
    <w:rsid w:val="00BB7105"/>
    <w:rsid w:val="00BE5007"/>
    <w:rsid w:val="00BE6DF5"/>
    <w:rsid w:val="00BF0410"/>
    <w:rsid w:val="00BF11BD"/>
    <w:rsid w:val="00BF2F44"/>
    <w:rsid w:val="00C0305E"/>
    <w:rsid w:val="00C05ED1"/>
    <w:rsid w:val="00C17E28"/>
    <w:rsid w:val="00C30CD4"/>
    <w:rsid w:val="00C30FBD"/>
    <w:rsid w:val="00C3171A"/>
    <w:rsid w:val="00C4759F"/>
    <w:rsid w:val="00C477FB"/>
    <w:rsid w:val="00C50BE7"/>
    <w:rsid w:val="00C51EEF"/>
    <w:rsid w:val="00C52A94"/>
    <w:rsid w:val="00C652F2"/>
    <w:rsid w:val="00C7251F"/>
    <w:rsid w:val="00C7365E"/>
    <w:rsid w:val="00C872D6"/>
    <w:rsid w:val="00C91B10"/>
    <w:rsid w:val="00CA6354"/>
    <w:rsid w:val="00CC4AB3"/>
    <w:rsid w:val="00CC7BA6"/>
    <w:rsid w:val="00CD192A"/>
    <w:rsid w:val="00CD5499"/>
    <w:rsid w:val="00CF315B"/>
    <w:rsid w:val="00D13617"/>
    <w:rsid w:val="00D14234"/>
    <w:rsid w:val="00D34B70"/>
    <w:rsid w:val="00D362E5"/>
    <w:rsid w:val="00D36436"/>
    <w:rsid w:val="00D651F6"/>
    <w:rsid w:val="00D74834"/>
    <w:rsid w:val="00D82DBA"/>
    <w:rsid w:val="00D84A45"/>
    <w:rsid w:val="00D84D1B"/>
    <w:rsid w:val="00D91D3A"/>
    <w:rsid w:val="00D96DA3"/>
    <w:rsid w:val="00DB3900"/>
    <w:rsid w:val="00DB5D85"/>
    <w:rsid w:val="00DB632D"/>
    <w:rsid w:val="00DC6EDA"/>
    <w:rsid w:val="00DD6223"/>
    <w:rsid w:val="00DD769F"/>
    <w:rsid w:val="00DF5254"/>
    <w:rsid w:val="00E05261"/>
    <w:rsid w:val="00E07E16"/>
    <w:rsid w:val="00E167A4"/>
    <w:rsid w:val="00E1704A"/>
    <w:rsid w:val="00E20886"/>
    <w:rsid w:val="00E21C4A"/>
    <w:rsid w:val="00E223A8"/>
    <w:rsid w:val="00E266A8"/>
    <w:rsid w:val="00E34216"/>
    <w:rsid w:val="00E44F99"/>
    <w:rsid w:val="00E45913"/>
    <w:rsid w:val="00E462DE"/>
    <w:rsid w:val="00E47DF8"/>
    <w:rsid w:val="00E60055"/>
    <w:rsid w:val="00E80F9A"/>
    <w:rsid w:val="00EA16BC"/>
    <w:rsid w:val="00EE0282"/>
    <w:rsid w:val="00EE7685"/>
    <w:rsid w:val="00EF35D1"/>
    <w:rsid w:val="00EF6FCF"/>
    <w:rsid w:val="00F03C94"/>
    <w:rsid w:val="00F051BB"/>
    <w:rsid w:val="00F114EC"/>
    <w:rsid w:val="00F237A6"/>
    <w:rsid w:val="00F25B54"/>
    <w:rsid w:val="00F3083E"/>
    <w:rsid w:val="00F52C10"/>
    <w:rsid w:val="00F53B0C"/>
    <w:rsid w:val="00F60087"/>
    <w:rsid w:val="00F86CAB"/>
    <w:rsid w:val="00F904D3"/>
    <w:rsid w:val="00F9290F"/>
    <w:rsid w:val="00F92BA4"/>
    <w:rsid w:val="00F95A12"/>
    <w:rsid w:val="00FA58B4"/>
    <w:rsid w:val="00FA74AD"/>
    <w:rsid w:val="00FB28CC"/>
    <w:rsid w:val="00FB4367"/>
    <w:rsid w:val="00FC6D13"/>
    <w:rsid w:val="00FD7768"/>
    <w:rsid w:val="00FD7FF2"/>
    <w:rsid w:val="00FE1B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6B6FD"/>
  <w15:chartTrackingRefBased/>
  <w15:docId w15:val="{1CF9854E-DAF3-EB48-93D0-7FD2728F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29"/>
  </w:style>
  <w:style w:type="paragraph" w:styleId="Heading1">
    <w:name w:val="heading 1"/>
    <w:basedOn w:val="Normal"/>
    <w:next w:val="Normal"/>
    <w:link w:val="Heading1Char"/>
    <w:uiPriority w:val="9"/>
    <w:qFormat/>
    <w:rsid w:val="00561158"/>
    <w:pPr>
      <w:keepNext/>
      <w:keepLines/>
      <w:numPr>
        <w:numId w:val="34"/>
      </w:numPr>
      <w:spacing w:before="480" w:after="240"/>
      <w:outlineLvl w:val="0"/>
    </w:pPr>
    <w:rPr>
      <w:rFonts w:ascii="Open Sans" w:eastAsiaTheme="majorEastAsia" w:hAnsi="Open Sans" w:cstheme="majorBidi"/>
      <w:b/>
      <w:color w:val="434343"/>
      <w:sz w:val="44"/>
      <w:szCs w:val="32"/>
    </w:rPr>
  </w:style>
  <w:style w:type="paragraph" w:styleId="Heading2">
    <w:name w:val="heading 2"/>
    <w:basedOn w:val="Normal"/>
    <w:next w:val="Normal"/>
    <w:link w:val="Heading2Char"/>
    <w:uiPriority w:val="9"/>
    <w:unhideWhenUsed/>
    <w:qFormat/>
    <w:rsid w:val="0091346D"/>
    <w:pPr>
      <w:keepNext/>
      <w:keepLines/>
      <w:numPr>
        <w:ilvl w:val="1"/>
        <w:numId w:val="34"/>
      </w:numPr>
      <w:spacing w:before="280" w:after="240"/>
      <w:outlineLvl w:val="1"/>
    </w:pPr>
    <w:rPr>
      <w:rFonts w:ascii="Open Sans" w:eastAsiaTheme="majorEastAsia" w:hAnsi="Open Sans" w:cs="Times New Roman (Headings CS)"/>
      <w:color w:val="434343"/>
      <w:sz w:val="36"/>
      <w:szCs w:val="26"/>
      <w:lang w:val="en-US"/>
    </w:rPr>
  </w:style>
  <w:style w:type="paragraph" w:styleId="Heading3">
    <w:name w:val="heading 3"/>
    <w:basedOn w:val="Normal"/>
    <w:next w:val="Normal"/>
    <w:link w:val="Heading3Char"/>
    <w:uiPriority w:val="9"/>
    <w:unhideWhenUsed/>
    <w:qFormat/>
    <w:rsid w:val="00513C1E"/>
    <w:pPr>
      <w:keepNext/>
      <w:keepLines/>
      <w:numPr>
        <w:ilvl w:val="2"/>
        <w:numId w:val="34"/>
      </w:numPr>
      <w:spacing w:before="120" w:after="120"/>
      <w:outlineLvl w:val="2"/>
    </w:pPr>
    <w:rPr>
      <w:rFonts w:ascii="Open Sans" w:eastAsiaTheme="majorEastAsia" w:hAnsi="Open Sans" w:cstheme="majorBidi"/>
      <w:color w:val="434343"/>
      <w:sz w:val="28"/>
    </w:rPr>
  </w:style>
  <w:style w:type="paragraph" w:styleId="Heading4">
    <w:name w:val="heading 4"/>
    <w:basedOn w:val="Normal"/>
    <w:next w:val="Normal"/>
    <w:link w:val="Heading4Char"/>
    <w:uiPriority w:val="9"/>
    <w:unhideWhenUsed/>
    <w:qFormat/>
    <w:rsid w:val="00DD6223"/>
    <w:pPr>
      <w:keepNext/>
      <w:keepLines/>
      <w:numPr>
        <w:ilvl w:val="3"/>
        <w:numId w:val="34"/>
      </w:numPr>
      <w:spacing w:before="40"/>
      <w:outlineLvl w:val="3"/>
    </w:pPr>
    <w:rPr>
      <w:rFonts w:ascii="Open Sans" w:eastAsiaTheme="majorEastAsia" w:hAnsi="Open Sans" w:cstheme="majorBidi"/>
      <w:b/>
      <w:iCs/>
      <w:color w:val="434343"/>
    </w:rPr>
  </w:style>
  <w:style w:type="paragraph" w:styleId="Heading5">
    <w:name w:val="heading 5"/>
    <w:basedOn w:val="Normal"/>
    <w:next w:val="Normal"/>
    <w:link w:val="Heading5Char"/>
    <w:uiPriority w:val="9"/>
    <w:unhideWhenUsed/>
    <w:qFormat/>
    <w:rsid w:val="00D13617"/>
    <w:pPr>
      <w:keepNext/>
      <w:keepLines/>
      <w:numPr>
        <w:ilvl w:val="4"/>
        <w:numId w:val="34"/>
      </w:numPr>
      <w:spacing w:before="40"/>
      <w:outlineLvl w:val="4"/>
    </w:pPr>
    <w:rPr>
      <w:rFonts w:ascii="Open Sans" w:eastAsiaTheme="majorEastAsia" w:hAnsi="Open Sans" w:cstheme="majorBidi"/>
      <w:i/>
      <w:color w:val="434343"/>
    </w:rPr>
  </w:style>
  <w:style w:type="paragraph" w:styleId="Heading6">
    <w:name w:val="heading 6"/>
    <w:basedOn w:val="Normal"/>
    <w:next w:val="Normal"/>
    <w:link w:val="Heading6Char"/>
    <w:uiPriority w:val="9"/>
    <w:unhideWhenUsed/>
    <w:qFormat/>
    <w:rsid w:val="00EF35D1"/>
    <w:pPr>
      <w:keepNext/>
      <w:keepLines/>
      <w:numPr>
        <w:ilvl w:val="5"/>
        <w:numId w:val="34"/>
      </w:numPr>
      <w:spacing w:before="40"/>
      <w:outlineLvl w:val="5"/>
    </w:pPr>
    <w:rPr>
      <w:rFonts w:ascii="Open Sans" w:eastAsiaTheme="majorEastAsia" w:hAnsi="Open Sans" w:cstheme="majorBidi"/>
      <w:i/>
      <w:color w:val="EF8200"/>
      <w:sz w:val="22"/>
    </w:rPr>
  </w:style>
  <w:style w:type="paragraph" w:styleId="Heading7">
    <w:name w:val="heading 7"/>
    <w:basedOn w:val="Normal"/>
    <w:next w:val="Normal"/>
    <w:link w:val="Heading7Char"/>
    <w:uiPriority w:val="9"/>
    <w:semiHidden/>
    <w:unhideWhenUsed/>
    <w:qFormat/>
    <w:rsid w:val="00CF315B"/>
    <w:pPr>
      <w:keepNext/>
      <w:keepLines/>
      <w:numPr>
        <w:ilvl w:val="6"/>
        <w:numId w:val="3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315B"/>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315B"/>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A6C"/>
    <w:pPr>
      <w:tabs>
        <w:tab w:val="center" w:pos="4513"/>
        <w:tab w:val="right" w:pos="9026"/>
      </w:tabs>
    </w:pPr>
  </w:style>
  <w:style w:type="character" w:customStyle="1" w:styleId="HeaderChar">
    <w:name w:val="Header Char"/>
    <w:basedOn w:val="DefaultParagraphFont"/>
    <w:link w:val="Header"/>
    <w:uiPriority w:val="99"/>
    <w:rsid w:val="00336A6C"/>
  </w:style>
  <w:style w:type="paragraph" w:styleId="Footer">
    <w:name w:val="footer"/>
    <w:basedOn w:val="Normal"/>
    <w:link w:val="FooterChar"/>
    <w:uiPriority w:val="99"/>
    <w:unhideWhenUsed/>
    <w:rsid w:val="00336A6C"/>
    <w:pPr>
      <w:tabs>
        <w:tab w:val="center" w:pos="4513"/>
        <w:tab w:val="right" w:pos="9026"/>
      </w:tabs>
    </w:pPr>
  </w:style>
  <w:style w:type="character" w:customStyle="1" w:styleId="FooterChar">
    <w:name w:val="Footer Char"/>
    <w:basedOn w:val="DefaultParagraphFont"/>
    <w:link w:val="Footer"/>
    <w:uiPriority w:val="99"/>
    <w:rsid w:val="00336A6C"/>
  </w:style>
  <w:style w:type="character" w:styleId="PageNumber">
    <w:name w:val="page number"/>
    <w:basedOn w:val="DefaultParagraphFont"/>
    <w:uiPriority w:val="99"/>
    <w:semiHidden/>
    <w:unhideWhenUsed/>
    <w:rsid w:val="00813E07"/>
  </w:style>
  <w:style w:type="table" w:styleId="TableGrid">
    <w:name w:val="Table Grid"/>
    <w:basedOn w:val="TableNormal"/>
    <w:uiPriority w:val="39"/>
    <w:rsid w:val="005D0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BF2F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BF2F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36436"/>
    <w:pPr>
      <w:ind w:left="720"/>
      <w:contextualSpacing/>
    </w:pPr>
  </w:style>
  <w:style w:type="table" w:styleId="TableGridLight">
    <w:name w:val="Grid Table Light"/>
    <w:basedOn w:val="TableNormal"/>
    <w:uiPriority w:val="40"/>
    <w:rsid w:val="005515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urfulAccent6">
    <w:name w:val="List Table 7 Colorful Accent 6"/>
    <w:basedOn w:val="TableNormal"/>
    <w:uiPriority w:val="52"/>
    <w:rsid w:val="00B75EB8"/>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interTwin">
    <w:name w:val="Style 1 - interTwin"/>
    <w:basedOn w:val="TableNormal"/>
    <w:uiPriority w:val="99"/>
    <w:rsid w:val="004537BE"/>
    <w:rPr>
      <w:rFonts w:ascii="Open Sans" w:hAnsi="Open Sans"/>
      <w:sz w:val="22"/>
    </w:rPr>
    <w:tblPr>
      <w:tblStyleRow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rFonts w:ascii="Open Sans" w:hAnsi="Open Sans"/>
        <w:b/>
        <w:color w:val="FFFFFF"/>
        <w:sz w:val="34"/>
      </w:rPr>
      <w:tblPr/>
      <w:tcPr>
        <w:tc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l2br w:val="nil"/>
          <w:tr2bl w:val="nil"/>
        </w:tcBorders>
        <w:shd w:val="clear" w:color="auto" w:fill="434343"/>
      </w:tcPr>
    </w:tblStylePr>
    <w:tblStylePr w:type="band1Horz">
      <w:rPr>
        <w:rFonts w:ascii="Open Sans" w:hAnsi="Open Sans"/>
        <w:color w:val="434343"/>
        <w:sz w:val="22"/>
      </w:rPr>
    </w:tblStylePr>
    <w:tblStylePr w:type="band2Horz">
      <w:rPr>
        <w:rFonts w:ascii="Open Sans" w:hAnsi="Open Sans"/>
        <w:b w:val="0"/>
        <w:i w:val="0"/>
        <w:color w:val="434343"/>
        <w:sz w:val="22"/>
      </w:rPr>
      <w:tblPr/>
      <w:tcPr>
        <w:tcBorders>
          <w:top w:val="single" w:sz="4" w:space="0" w:color="B7B7B7"/>
          <w:left w:val="single" w:sz="4" w:space="0" w:color="B7B7B7"/>
          <w:bottom w:val="single" w:sz="4" w:space="0" w:color="B7B7B7"/>
          <w:right w:val="single" w:sz="4" w:space="0" w:color="B7B7B7"/>
          <w:insideH w:val="single" w:sz="4" w:space="0" w:color="B7B7B7"/>
          <w:insideV w:val="single" w:sz="4" w:space="0" w:color="B7B7B7"/>
          <w:tl2br w:val="nil"/>
          <w:tr2bl w:val="nil"/>
        </w:tcBorders>
        <w:shd w:val="clear" w:color="auto" w:fill="F3F3F3"/>
      </w:tcPr>
    </w:tblStylePr>
  </w:style>
  <w:style w:type="character" w:styleId="Hyperlink">
    <w:name w:val="Hyperlink"/>
    <w:basedOn w:val="DefaultParagraphFont"/>
    <w:uiPriority w:val="99"/>
    <w:unhideWhenUsed/>
    <w:rsid w:val="006321B7"/>
    <w:rPr>
      <w:color w:val="0563C1" w:themeColor="hyperlink"/>
      <w:u w:val="single"/>
    </w:rPr>
  </w:style>
  <w:style w:type="character" w:styleId="UnresolvedMention">
    <w:name w:val="Unresolved Mention"/>
    <w:basedOn w:val="DefaultParagraphFont"/>
    <w:uiPriority w:val="99"/>
    <w:semiHidden/>
    <w:unhideWhenUsed/>
    <w:rsid w:val="006321B7"/>
    <w:rPr>
      <w:color w:val="605E5C"/>
      <w:shd w:val="clear" w:color="auto" w:fill="E1DFDD"/>
    </w:rPr>
  </w:style>
  <w:style w:type="character" w:styleId="FollowedHyperlink">
    <w:name w:val="FollowedHyperlink"/>
    <w:basedOn w:val="DefaultParagraphFont"/>
    <w:uiPriority w:val="99"/>
    <w:semiHidden/>
    <w:unhideWhenUsed/>
    <w:rsid w:val="00322182"/>
    <w:rPr>
      <w:color w:val="954F72" w:themeColor="followedHyperlink"/>
      <w:u w:val="single"/>
    </w:rPr>
  </w:style>
  <w:style w:type="character" w:customStyle="1" w:styleId="Heading1Char">
    <w:name w:val="Heading 1 Char"/>
    <w:basedOn w:val="DefaultParagraphFont"/>
    <w:link w:val="Heading1"/>
    <w:uiPriority w:val="9"/>
    <w:rsid w:val="00561158"/>
    <w:rPr>
      <w:rFonts w:ascii="Open Sans" w:eastAsiaTheme="majorEastAsia" w:hAnsi="Open Sans" w:cstheme="majorBidi"/>
      <w:b/>
      <w:color w:val="434343"/>
      <w:sz w:val="44"/>
      <w:szCs w:val="32"/>
    </w:rPr>
  </w:style>
  <w:style w:type="paragraph" w:styleId="TOCHeading">
    <w:name w:val="TOC Heading"/>
    <w:basedOn w:val="Heading1"/>
    <w:next w:val="Normal"/>
    <w:uiPriority w:val="39"/>
    <w:unhideWhenUsed/>
    <w:qFormat/>
    <w:rsid w:val="00634F4A"/>
    <w:pPr>
      <w:spacing w:line="276" w:lineRule="auto"/>
      <w:outlineLvl w:val="9"/>
    </w:pPr>
    <w:rPr>
      <w:b w:val="0"/>
      <w:bCs/>
      <w:sz w:val="28"/>
      <w:szCs w:val="28"/>
      <w:lang w:val="en-US"/>
    </w:rPr>
  </w:style>
  <w:style w:type="paragraph" w:styleId="TOC1">
    <w:name w:val="toc 1"/>
    <w:basedOn w:val="Normal"/>
    <w:next w:val="Normal"/>
    <w:autoRedefine/>
    <w:uiPriority w:val="39"/>
    <w:unhideWhenUsed/>
    <w:rsid w:val="00634F4A"/>
    <w:pPr>
      <w:spacing w:before="120"/>
    </w:pPr>
    <w:rPr>
      <w:rFonts w:cstheme="minorHAnsi"/>
      <w:b/>
      <w:bCs/>
      <w:i/>
      <w:iCs/>
    </w:rPr>
  </w:style>
  <w:style w:type="paragraph" w:styleId="TOC2">
    <w:name w:val="toc 2"/>
    <w:basedOn w:val="Normal"/>
    <w:next w:val="Normal"/>
    <w:autoRedefine/>
    <w:uiPriority w:val="39"/>
    <w:unhideWhenUsed/>
    <w:rsid w:val="00634F4A"/>
    <w:pPr>
      <w:spacing w:before="120"/>
      <w:ind w:left="240"/>
    </w:pPr>
    <w:rPr>
      <w:rFonts w:cstheme="minorHAnsi"/>
      <w:b/>
      <w:bCs/>
      <w:sz w:val="22"/>
      <w:szCs w:val="22"/>
    </w:rPr>
  </w:style>
  <w:style w:type="paragraph" w:styleId="TOC3">
    <w:name w:val="toc 3"/>
    <w:basedOn w:val="Normal"/>
    <w:next w:val="Normal"/>
    <w:autoRedefine/>
    <w:uiPriority w:val="39"/>
    <w:unhideWhenUsed/>
    <w:rsid w:val="00634F4A"/>
    <w:pPr>
      <w:ind w:left="480"/>
    </w:pPr>
    <w:rPr>
      <w:rFonts w:cstheme="minorHAnsi"/>
      <w:sz w:val="20"/>
      <w:szCs w:val="20"/>
    </w:rPr>
  </w:style>
  <w:style w:type="paragraph" w:styleId="TOC4">
    <w:name w:val="toc 4"/>
    <w:basedOn w:val="Normal"/>
    <w:next w:val="Normal"/>
    <w:autoRedefine/>
    <w:uiPriority w:val="39"/>
    <w:semiHidden/>
    <w:unhideWhenUsed/>
    <w:rsid w:val="00634F4A"/>
    <w:pPr>
      <w:ind w:left="720"/>
    </w:pPr>
    <w:rPr>
      <w:rFonts w:cstheme="minorHAnsi"/>
      <w:sz w:val="20"/>
      <w:szCs w:val="20"/>
    </w:rPr>
  </w:style>
  <w:style w:type="paragraph" w:styleId="TOC5">
    <w:name w:val="toc 5"/>
    <w:basedOn w:val="Normal"/>
    <w:next w:val="Normal"/>
    <w:autoRedefine/>
    <w:uiPriority w:val="39"/>
    <w:semiHidden/>
    <w:unhideWhenUsed/>
    <w:rsid w:val="00634F4A"/>
    <w:pPr>
      <w:ind w:left="960"/>
    </w:pPr>
    <w:rPr>
      <w:rFonts w:cstheme="minorHAnsi"/>
      <w:sz w:val="20"/>
      <w:szCs w:val="20"/>
    </w:rPr>
  </w:style>
  <w:style w:type="paragraph" w:styleId="TOC6">
    <w:name w:val="toc 6"/>
    <w:basedOn w:val="Normal"/>
    <w:next w:val="Normal"/>
    <w:autoRedefine/>
    <w:uiPriority w:val="39"/>
    <w:semiHidden/>
    <w:unhideWhenUsed/>
    <w:rsid w:val="00634F4A"/>
    <w:pPr>
      <w:ind w:left="1200"/>
    </w:pPr>
    <w:rPr>
      <w:rFonts w:cstheme="minorHAnsi"/>
      <w:sz w:val="20"/>
      <w:szCs w:val="20"/>
    </w:rPr>
  </w:style>
  <w:style w:type="paragraph" w:styleId="TOC7">
    <w:name w:val="toc 7"/>
    <w:basedOn w:val="Normal"/>
    <w:next w:val="Normal"/>
    <w:autoRedefine/>
    <w:uiPriority w:val="39"/>
    <w:semiHidden/>
    <w:unhideWhenUsed/>
    <w:rsid w:val="00634F4A"/>
    <w:pPr>
      <w:ind w:left="1440"/>
    </w:pPr>
    <w:rPr>
      <w:rFonts w:cstheme="minorHAnsi"/>
      <w:sz w:val="20"/>
      <w:szCs w:val="20"/>
    </w:rPr>
  </w:style>
  <w:style w:type="paragraph" w:styleId="TOC8">
    <w:name w:val="toc 8"/>
    <w:basedOn w:val="Normal"/>
    <w:next w:val="Normal"/>
    <w:autoRedefine/>
    <w:uiPriority w:val="39"/>
    <w:semiHidden/>
    <w:unhideWhenUsed/>
    <w:rsid w:val="00634F4A"/>
    <w:pPr>
      <w:ind w:left="1680"/>
    </w:pPr>
    <w:rPr>
      <w:rFonts w:cstheme="minorHAnsi"/>
      <w:sz w:val="20"/>
      <w:szCs w:val="20"/>
    </w:rPr>
  </w:style>
  <w:style w:type="paragraph" w:styleId="TOC9">
    <w:name w:val="toc 9"/>
    <w:basedOn w:val="Normal"/>
    <w:next w:val="Normal"/>
    <w:autoRedefine/>
    <w:uiPriority w:val="39"/>
    <w:semiHidden/>
    <w:unhideWhenUsed/>
    <w:rsid w:val="00634F4A"/>
    <w:pPr>
      <w:ind w:left="1920"/>
    </w:pPr>
    <w:rPr>
      <w:rFonts w:cstheme="minorHAnsi"/>
      <w:sz w:val="20"/>
      <w:szCs w:val="20"/>
    </w:rPr>
  </w:style>
  <w:style w:type="character" w:customStyle="1" w:styleId="Heading2Char">
    <w:name w:val="Heading 2 Char"/>
    <w:basedOn w:val="DefaultParagraphFont"/>
    <w:link w:val="Heading2"/>
    <w:uiPriority w:val="9"/>
    <w:rsid w:val="0091346D"/>
    <w:rPr>
      <w:rFonts w:ascii="Open Sans" w:eastAsiaTheme="majorEastAsia" w:hAnsi="Open Sans" w:cs="Times New Roman (Headings CS)"/>
      <w:color w:val="434343"/>
      <w:sz w:val="36"/>
      <w:szCs w:val="26"/>
      <w:lang w:val="en-US"/>
    </w:rPr>
  </w:style>
  <w:style w:type="character" w:customStyle="1" w:styleId="Heading3Char">
    <w:name w:val="Heading 3 Char"/>
    <w:basedOn w:val="DefaultParagraphFont"/>
    <w:link w:val="Heading3"/>
    <w:uiPriority w:val="9"/>
    <w:rsid w:val="00513C1E"/>
    <w:rPr>
      <w:rFonts w:ascii="Open Sans" w:eastAsiaTheme="majorEastAsia" w:hAnsi="Open Sans" w:cstheme="majorBidi"/>
      <w:color w:val="434343"/>
      <w:sz w:val="28"/>
    </w:rPr>
  </w:style>
  <w:style w:type="character" w:customStyle="1" w:styleId="Heading4Char">
    <w:name w:val="Heading 4 Char"/>
    <w:basedOn w:val="DefaultParagraphFont"/>
    <w:link w:val="Heading4"/>
    <w:uiPriority w:val="9"/>
    <w:rsid w:val="00DD6223"/>
    <w:rPr>
      <w:rFonts w:ascii="Open Sans" w:eastAsiaTheme="majorEastAsia" w:hAnsi="Open Sans" w:cstheme="majorBidi"/>
      <w:b/>
      <w:iCs/>
      <w:color w:val="434343"/>
    </w:rPr>
  </w:style>
  <w:style w:type="numbering" w:styleId="111111">
    <w:name w:val="Outline List 2"/>
    <w:basedOn w:val="NoList"/>
    <w:uiPriority w:val="99"/>
    <w:semiHidden/>
    <w:unhideWhenUsed/>
    <w:rsid w:val="00CC4AB3"/>
    <w:pPr>
      <w:numPr>
        <w:numId w:val="9"/>
      </w:numPr>
    </w:pPr>
  </w:style>
  <w:style w:type="numbering" w:customStyle="1" w:styleId="CurrentList1">
    <w:name w:val="Current List1"/>
    <w:uiPriority w:val="99"/>
    <w:rsid w:val="00541C6E"/>
    <w:pPr>
      <w:numPr>
        <w:numId w:val="19"/>
      </w:numPr>
    </w:pPr>
  </w:style>
  <w:style w:type="character" w:customStyle="1" w:styleId="Heading5Char">
    <w:name w:val="Heading 5 Char"/>
    <w:basedOn w:val="DefaultParagraphFont"/>
    <w:link w:val="Heading5"/>
    <w:uiPriority w:val="9"/>
    <w:rsid w:val="00D13617"/>
    <w:rPr>
      <w:rFonts w:ascii="Open Sans" w:eastAsiaTheme="majorEastAsia" w:hAnsi="Open Sans" w:cstheme="majorBidi"/>
      <w:i/>
      <w:color w:val="434343"/>
    </w:rPr>
  </w:style>
  <w:style w:type="character" w:customStyle="1" w:styleId="Heading6Char">
    <w:name w:val="Heading 6 Char"/>
    <w:basedOn w:val="DefaultParagraphFont"/>
    <w:link w:val="Heading6"/>
    <w:uiPriority w:val="9"/>
    <w:rsid w:val="00EF35D1"/>
    <w:rPr>
      <w:rFonts w:ascii="Open Sans" w:eastAsiaTheme="majorEastAsia" w:hAnsi="Open Sans" w:cstheme="majorBidi"/>
      <w:i/>
      <w:color w:val="EF8200"/>
      <w:sz w:val="22"/>
    </w:rPr>
  </w:style>
  <w:style w:type="numbering" w:customStyle="1" w:styleId="CurrentList2">
    <w:name w:val="Current List2"/>
    <w:uiPriority w:val="99"/>
    <w:rsid w:val="00FA74AD"/>
    <w:pPr>
      <w:numPr>
        <w:numId w:val="24"/>
      </w:numPr>
    </w:pPr>
  </w:style>
  <w:style w:type="paragraph" w:styleId="Title">
    <w:name w:val="Title"/>
    <w:basedOn w:val="Normal"/>
    <w:next w:val="Normal"/>
    <w:link w:val="TitleChar"/>
    <w:uiPriority w:val="10"/>
    <w:qFormat/>
    <w:rsid w:val="00174F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FCA"/>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uiPriority w:val="9"/>
    <w:semiHidden/>
    <w:rsid w:val="00CF315B"/>
    <w:rPr>
      <w:rFonts w:asciiTheme="majorHAnsi" w:eastAsiaTheme="majorEastAsia" w:hAnsiTheme="majorHAnsi" w:cstheme="majorBidi"/>
      <w:i/>
      <w:iCs/>
      <w:color w:val="1F3763" w:themeColor="accent1" w:themeShade="7F"/>
    </w:rPr>
  </w:style>
  <w:style w:type="numbering" w:customStyle="1" w:styleId="CurrentList3">
    <w:name w:val="Current List3"/>
    <w:uiPriority w:val="99"/>
    <w:rsid w:val="0091346D"/>
    <w:pPr>
      <w:numPr>
        <w:numId w:val="30"/>
      </w:numPr>
    </w:pPr>
  </w:style>
  <w:style w:type="character" w:customStyle="1" w:styleId="Heading8Char">
    <w:name w:val="Heading 8 Char"/>
    <w:basedOn w:val="DefaultParagraphFont"/>
    <w:link w:val="Heading8"/>
    <w:uiPriority w:val="9"/>
    <w:semiHidden/>
    <w:rsid w:val="00CF31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315B"/>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E3BE9"/>
    <w:rPr>
      <w:sz w:val="16"/>
      <w:szCs w:val="16"/>
    </w:rPr>
  </w:style>
  <w:style w:type="paragraph" w:styleId="CommentText">
    <w:name w:val="annotation text"/>
    <w:basedOn w:val="Normal"/>
    <w:link w:val="CommentTextChar"/>
    <w:uiPriority w:val="99"/>
    <w:unhideWhenUsed/>
    <w:rsid w:val="00AE3BE9"/>
    <w:rPr>
      <w:sz w:val="20"/>
      <w:szCs w:val="20"/>
    </w:rPr>
  </w:style>
  <w:style w:type="character" w:customStyle="1" w:styleId="CommentTextChar">
    <w:name w:val="Comment Text Char"/>
    <w:basedOn w:val="DefaultParagraphFont"/>
    <w:link w:val="CommentText"/>
    <w:uiPriority w:val="99"/>
    <w:rsid w:val="00AE3BE9"/>
    <w:rPr>
      <w:sz w:val="20"/>
      <w:szCs w:val="20"/>
    </w:rPr>
  </w:style>
  <w:style w:type="paragraph" w:styleId="CommentSubject">
    <w:name w:val="annotation subject"/>
    <w:basedOn w:val="CommentText"/>
    <w:next w:val="CommentText"/>
    <w:link w:val="CommentSubjectChar"/>
    <w:uiPriority w:val="99"/>
    <w:semiHidden/>
    <w:unhideWhenUsed/>
    <w:rsid w:val="00AE3BE9"/>
    <w:rPr>
      <w:b/>
      <w:bCs/>
    </w:rPr>
  </w:style>
  <w:style w:type="character" w:customStyle="1" w:styleId="CommentSubjectChar">
    <w:name w:val="Comment Subject Char"/>
    <w:basedOn w:val="CommentTextChar"/>
    <w:link w:val="CommentSubject"/>
    <w:uiPriority w:val="99"/>
    <w:semiHidden/>
    <w:rsid w:val="00AE3BE9"/>
    <w:rPr>
      <w:b/>
      <w:bCs/>
      <w:sz w:val="20"/>
      <w:szCs w:val="20"/>
    </w:rPr>
  </w:style>
  <w:style w:type="paragraph" w:styleId="Revision">
    <w:name w:val="Revision"/>
    <w:hidden/>
    <w:uiPriority w:val="99"/>
    <w:semiHidden/>
    <w:rsid w:val="00117A54"/>
  </w:style>
  <w:style w:type="paragraph" w:styleId="EndnoteText">
    <w:name w:val="endnote text"/>
    <w:basedOn w:val="Normal"/>
    <w:link w:val="EndnoteTextChar"/>
    <w:uiPriority w:val="99"/>
    <w:semiHidden/>
    <w:unhideWhenUsed/>
    <w:rsid w:val="00A44FC7"/>
    <w:rPr>
      <w:sz w:val="20"/>
      <w:szCs w:val="20"/>
    </w:rPr>
  </w:style>
  <w:style w:type="character" w:customStyle="1" w:styleId="EndnoteTextChar">
    <w:name w:val="Endnote Text Char"/>
    <w:basedOn w:val="DefaultParagraphFont"/>
    <w:link w:val="EndnoteText"/>
    <w:uiPriority w:val="99"/>
    <w:semiHidden/>
    <w:rsid w:val="00A44FC7"/>
    <w:rPr>
      <w:sz w:val="20"/>
      <w:szCs w:val="20"/>
    </w:rPr>
  </w:style>
  <w:style w:type="character" w:styleId="EndnoteReference">
    <w:name w:val="endnote reference"/>
    <w:basedOn w:val="DefaultParagraphFont"/>
    <w:uiPriority w:val="99"/>
    <w:semiHidden/>
    <w:unhideWhenUsed/>
    <w:rsid w:val="00A44FC7"/>
    <w:rPr>
      <w:vertAlign w:val="superscript"/>
    </w:rPr>
  </w:style>
  <w:style w:type="paragraph" w:styleId="FootnoteText">
    <w:name w:val="footnote text"/>
    <w:basedOn w:val="Normal"/>
    <w:link w:val="FootnoteTextChar"/>
    <w:uiPriority w:val="99"/>
    <w:semiHidden/>
    <w:unhideWhenUsed/>
    <w:rsid w:val="004B7729"/>
    <w:rPr>
      <w:sz w:val="20"/>
      <w:szCs w:val="20"/>
    </w:rPr>
  </w:style>
  <w:style w:type="character" w:customStyle="1" w:styleId="FootnoteTextChar">
    <w:name w:val="Footnote Text Char"/>
    <w:basedOn w:val="DefaultParagraphFont"/>
    <w:link w:val="FootnoteText"/>
    <w:uiPriority w:val="99"/>
    <w:semiHidden/>
    <w:rsid w:val="004B7729"/>
    <w:rPr>
      <w:sz w:val="20"/>
      <w:szCs w:val="20"/>
    </w:rPr>
  </w:style>
  <w:style w:type="character" w:styleId="FootnoteReference">
    <w:name w:val="footnote reference"/>
    <w:basedOn w:val="DefaultParagraphFont"/>
    <w:uiPriority w:val="99"/>
    <w:semiHidden/>
    <w:unhideWhenUsed/>
    <w:rsid w:val="004B7729"/>
    <w:rPr>
      <w:vertAlign w:val="superscript"/>
    </w:rPr>
  </w:style>
  <w:style w:type="character" w:styleId="Emphasis">
    <w:name w:val="Emphasis"/>
    <w:basedOn w:val="DefaultParagraphFont"/>
    <w:uiPriority w:val="20"/>
    <w:qFormat/>
    <w:rsid w:val="0078104B"/>
    <w:rPr>
      <w:i/>
      <w:iCs/>
    </w:rPr>
  </w:style>
  <w:style w:type="paragraph" w:styleId="NoSpacing">
    <w:name w:val="No Spacing"/>
    <w:uiPriority w:val="1"/>
    <w:qFormat/>
    <w:rsid w:val="00FB2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5281/zenodo.1069249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xavier.salazar@egi.eu" TargetMode="External"/><Relationship Id="rId17" Type="http://schemas.openxmlformats.org/officeDocument/2006/relationships/hyperlink" Target="https://www.intertwin.eu/intertwin-key-exploitable-results-kers/" TargetMode="External"/><Relationship Id="rId2" Type="http://schemas.openxmlformats.org/officeDocument/2006/relationships/numbering" Target="numbering.xml"/><Relationship Id="rId16" Type="http://schemas.openxmlformats.org/officeDocument/2006/relationships/hyperlink" Target="https://www.intertwin.eu/use-cas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manzi@egi.eu" TargetMode="External"/><Relationship Id="rId5" Type="http://schemas.openxmlformats.org/officeDocument/2006/relationships/webSettings" Target="webSettings.xml"/><Relationship Id="rId15" Type="http://schemas.openxmlformats.org/officeDocument/2006/relationships/hyperlink" Target="http://creativecommons.org/licenses/by/4.0/" TargetMode="External"/><Relationship Id="rId23" Type="http://schemas.openxmlformats.org/officeDocument/2006/relationships/theme" Target="theme/theme1.xml"/><Relationship Id="rId10" Type="http://schemas.openxmlformats.org/officeDocument/2006/relationships/hyperlink" Target="mailto:malgorzata.krakowian@egi.e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tertwin.eu/" TargetMode="External"/><Relationship Id="rId14" Type="http://schemas.openxmlformats.org/officeDocument/2006/relationships/image" Target="media/image2.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E291-AA8F-4041-A79C-18FDC211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Sjomara Specht</dc:creator>
  <cp:keywords/>
  <dc:description/>
  <cp:lastModifiedBy>Sjomara Specht</cp:lastModifiedBy>
  <cp:revision>3</cp:revision>
  <cp:lastPrinted>2024-02-22T11:39:00Z</cp:lastPrinted>
  <dcterms:created xsi:type="dcterms:W3CDTF">2024-02-22T11:50:00Z</dcterms:created>
  <dcterms:modified xsi:type="dcterms:W3CDTF">2024-02-22T11:52:00Z</dcterms:modified>
</cp:coreProperties>
</file>