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6A85" w14:textId="77777777" w:rsidR="00207D16" w:rsidRPr="002B1814" w:rsidRDefault="00207D16">
      <w:pPr>
        <w:rPr>
          <w:rFonts w:ascii="Calibri" w:hAnsi="Calibri" w:cs="Calibri"/>
        </w:rPr>
      </w:pPr>
    </w:p>
    <w:p w14:paraId="25B84F41" w14:textId="77777777" w:rsidR="00207D16" w:rsidRPr="002B1814" w:rsidRDefault="00207D16" w:rsidP="00207D16">
      <w:pPr>
        <w:rPr>
          <w:rFonts w:ascii="Calibri" w:hAnsi="Calibri" w:cs="Calibri"/>
        </w:rPr>
      </w:pPr>
    </w:p>
    <w:p w14:paraId="2AC52969" w14:textId="77777777" w:rsidR="00207D16" w:rsidRPr="002B1814" w:rsidRDefault="00207D16" w:rsidP="00207D16">
      <w:pPr>
        <w:rPr>
          <w:rFonts w:ascii="Calibri" w:hAnsi="Calibri" w:cs="Calibri"/>
        </w:rPr>
      </w:pPr>
    </w:p>
    <w:p w14:paraId="68D26ED8"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6BF33C2B" w14:textId="77777777" w:rsidR="00207D16" w:rsidRPr="002B1814" w:rsidRDefault="00207D16" w:rsidP="00207D16">
      <w:pPr>
        <w:rPr>
          <w:rFonts w:ascii="Calibri" w:hAnsi="Calibri" w:cs="Calibri"/>
        </w:rPr>
      </w:pPr>
    </w:p>
    <w:p w14:paraId="6D582671" w14:textId="77777777" w:rsidR="00207D16" w:rsidRPr="002B1814" w:rsidRDefault="00207D16" w:rsidP="00207D16">
      <w:pPr>
        <w:rPr>
          <w:rFonts w:ascii="Calibri" w:hAnsi="Calibri" w:cs="Calibri"/>
        </w:rPr>
      </w:pPr>
    </w:p>
    <w:p w14:paraId="69C7C1BF" w14:textId="77777777" w:rsidR="00207D16" w:rsidRPr="002B1814" w:rsidRDefault="007D79D8" w:rsidP="00207D16">
      <w:pPr>
        <w:pStyle w:val="DocTitle"/>
        <w:tabs>
          <w:tab w:val="center" w:pos="4536"/>
          <w:tab w:val="left" w:pos="7845"/>
        </w:tabs>
        <w:rPr>
          <w:rFonts w:ascii="Calibri" w:hAnsi="Calibri" w:cs="Calibri"/>
          <w:color w:val="000000"/>
        </w:rPr>
      </w:pPr>
      <w:r>
        <w:rPr>
          <w:rFonts w:ascii="Calibri" w:hAnsi="Calibri" w:cs="Calibri"/>
          <w:color w:val="000000"/>
        </w:rPr>
        <w:t>Negotiating the SLA with EMI</w:t>
      </w:r>
    </w:p>
    <w:p w14:paraId="2F60B09A" w14:textId="77777777" w:rsidR="00207D16" w:rsidRPr="002B1814" w:rsidRDefault="00207D16" w:rsidP="00207D16">
      <w:pPr>
        <w:rPr>
          <w:rFonts w:ascii="Calibri" w:hAnsi="Calibri" w:cs="Calibri"/>
        </w:rPr>
      </w:pPr>
    </w:p>
    <w:p w14:paraId="2B63D339" w14:textId="77777777" w:rsidR="00207D16" w:rsidRPr="002B1814" w:rsidRDefault="00207D16" w:rsidP="00207D16">
      <w:pPr>
        <w:rPr>
          <w:rFonts w:ascii="Calibri" w:hAnsi="Calibri" w:cs="Calibri"/>
          <w:i/>
        </w:rPr>
      </w:pPr>
    </w:p>
    <w:p w14:paraId="2FAAEBED" w14:textId="77777777" w:rsidR="00207D16" w:rsidRPr="002B1814" w:rsidRDefault="00207D16" w:rsidP="00207D16">
      <w:pPr>
        <w:rPr>
          <w:rFonts w:ascii="Calibri" w:hAnsi="Calibri" w:cs="Calibri"/>
        </w:rPr>
      </w:pPr>
    </w:p>
    <w:p w14:paraId="1212126C" w14:textId="77777777" w:rsidR="00207D16" w:rsidRPr="002B1814" w:rsidRDefault="00207D16" w:rsidP="00207D16">
      <w:pPr>
        <w:rPr>
          <w:rFonts w:ascii="Calibri" w:hAnsi="Calibri" w:cs="Calibri"/>
          <w:sz w:val="24"/>
        </w:rPr>
      </w:pPr>
    </w:p>
    <w:p w14:paraId="5A597B3F" w14:textId="77777777" w:rsidR="00207D16" w:rsidRPr="002B1814" w:rsidRDefault="00207D16" w:rsidP="00207D16">
      <w:pPr>
        <w:rPr>
          <w:rFonts w:ascii="Calibri" w:hAnsi="Calibri" w:cs="Calibri"/>
          <w:sz w:val="24"/>
        </w:rPr>
        <w:sectPr w:rsidR="00207D16" w:rsidRPr="002B181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8" w:footer="708" w:gutter="0"/>
          <w:cols w:space="708"/>
        </w:sectPr>
      </w:pPr>
    </w:p>
    <w:p w14:paraId="35D9FAB3"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413946BF" w14:textId="77777777" w:rsidR="001F656F"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1F656F" w:rsidRPr="006F5B55">
        <w:rPr>
          <w:rFonts w:cs="Calibri"/>
          <w:noProof/>
        </w:rPr>
        <w:t>1</w:t>
      </w:r>
      <w:r w:rsidR="001F656F">
        <w:rPr>
          <w:rFonts w:asciiTheme="minorHAnsi" w:eastAsiaTheme="minorEastAsia" w:hAnsiTheme="minorHAnsi" w:cstheme="minorBidi"/>
          <w:b w:val="0"/>
          <w:caps w:val="0"/>
          <w:noProof/>
          <w:sz w:val="24"/>
          <w:lang w:val="en-US" w:eastAsia="ja-JP"/>
        </w:rPr>
        <w:tab/>
      </w:r>
      <w:r w:rsidR="001F656F" w:rsidRPr="006F5B55">
        <w:rPr>
          <w:rFonts w:cs="Calibri"/>
          <w:noProof/>
        </w:rPr>
        <w:t>Issues that need resolving</w:t>
      </w:r>
      <w:r w:rsidR="001F656F">
        <w:rPr>
          <w:noProof/>
        </w:rPr>
        <w:tab/>
      </w:r>
      <w:r w:rsidR="001F656F">
        <w:rPr>
          <w:noProof/>
        </w:rPr>
        <w:fldChar w:fldCharType="begin"/>
      </w:r>
      <w:r w:rsidR="001F656F">
        <w:rPr>
          <w:noProof/>
        </w:rPr>
        <w:instrText xml:space="preserve"> PAGEREF _Toc163108776 \h </w:instrText>
      </w:r>
      <w:r w:rsidR="001F656F">
        <w:rPr>
          <w:noProof/>
        </w:rPr>
      </w:r>
      <w:r w:rsidR="001F656F">
        <w:rPr>
          <w:noProof/>
        </w:rPr>
        <w:fldChar w:fldCharType="separate"/>
      </w:r>
      <w:r w:rsidR="001F656F">
        <w:rPr>
          <w:noProof/>
        </w:rPr>
        <w:t>3</w:t>
      </w:r>
      <w:r w:rsidR="001F656F">
        <w:rPr>
          <w:noProof/>
        </w:rPr>
        <w:fldChar w:fldCharType="end"/>
      </w:r>
    </w:p>
    <w:p w14:paraId="4D5BD1CC" w14:textId="77777777" w:rsidR="001F656F" w:rsidRDefault="001F656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6F5B55">
        <w:rPr>
          <w:rFonts w:cs="Calibri"/>
          <w:noProof/>
        </w:rPr>
        <w:t>1.1</w:t>
      </w:r>
      <w:r>
        <w:rPr>
          <w:rFonts w:asciiTheme="minorHAnsi" w:eastAsiaTheme="minorEastAsia" w:hAnsiTheme="minorHAnsi" w:cstheme="minorBidi"/>
          <w:b w:val="0"/>
          <w:noProof/>
          <w:sz w:val="24"/>
          <w:szCs w:val="24"/>
          <w:lang w:val="en-US" w:eastAsia="ja-JP"/>
        </w:rPr>
        <w:tab/>
      </w:r>
      <w:r w:rsidRPr="006F5B55">
        <w:rPr>
          <w:rFonts w:cs="Calibri"/>
          <w:noProof/>
        </w:rPr>
        <w:t>First review (up to and including 7 March 2011)</w:t>
      </w:r>
      <w:r>
        <w:rPr>
          <w:noProof/>
        </w:rPr>
        <w:tab/>
      </w:r>
      <w:r>
        <w:rPr>
          <w:noProof/>
        </w:rPr>
        <w:fldChar w:fldCharType="begin"/>
      </w:r>
      <w:r>
        <w:rPr>
          <w:noProof/>
        </w:rPr>
        <w:instrText xml:space="preserve"> PAGEREF _Toc163108777 \h </w:instrText>
      </w:r>
      <w:r>
        <w:rPr>
          <w:noProof/>
        </w:rPr>
      </w:r>
      <w:r>
        <w:rPr>
          <w:noProof/>
        </w:rPr>
        <w:fldChar w:fldCharType="separate"/>
      </w:r>
      <w:r>
        <w:rPr>
          <w:noProof/>
        </w:rPr>
        <w:t>3</w:t>
      </w:r>
      <w:r>
        <w:rPr>
          <w:noProof/>
        </w:rPr>
        <w:fldChar w:fldCharType="end"/>
      </w:r>
    </w:p>
    <w:p w14:paraId="568C69BB" w14:textId="77777777" w:rsidR="001F656F" w:rsidRDefault="001F656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6F5B55">
        <w:rPr>
          <w:rFonts w:cs="Calibri"/>
          <w:noProof/>
        </w:rPr>
        <w:t>1.2</w:t>
      </w:r>
      <w:r>
        <w:rPr>
          <w:rFonts w:asciiTheme="minorHAnsi" w:eastAsiaTheme="minorEastAsia" w:hAnsiTheme="minorHAnsi" w:cstheme="minorBidi"/>
          <w:b w:val="0"/>
          <w:noProof/>
          <w:sz w:val="24"/>
          <w:szCs w:val="24"/>
          <w:lang w:val="en-US" w:eastAsia="ja-JP"/>
        </w:rPr>
        <w:tab/>
      </w:r>
      <w:r w:rsidRPr="006F5B55">
        <w:rPr>
          <w:rFonts w:cs="Calibri"/>
          <w:noProof/>
        </w:rPr>
        <w:t>Second review (up to and including 23 March 2011)</w:t>
      </w:r>
      <w:r>
        <w:rPr>
          <w:noProof/>
        </w:rPr>
        <w:tab/>
      </w:r>
      <w:r>
        <w:rPr>
          <w:noProof/>
        </w:rPr>
        <w:fldChar w:fldCharType="begin"/>
      </w:r>
      <w:r>
        <w:rPr>
          <w:noProof/>
        </w:rPr>
        <w:instrText xml:space="preserve"> PAGEREF _Toc163108778 \h </w:instrText>
      </w:r>
      <w:r>
        <w:rPr>
          <w:noProof/>
        </w:rPr>
      </w:r>
      <w:r>
        <w:rPr>
          <w:noProof/>
        </w:rPr>
        <w:fldChar w:fldCharType="separate"/>
      </w:r>
      <w:r>
        <w:rPr>
          <w:noProof/>
        </w:rPr>
        <w:t>4</w:t>
      </w:r>
      <w:r>
        <w:rPr>
          <w:noProof/>
        </w:rPr>
        <w:fldChar w:fldCharType="end"/>
      </w:r>
    </w:p>
    <w:p w14:paraId="63C116FA" w14:textId="77777777" w:rsidR="001F656F" w:rsidRDefault="001F656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6F5B55">
        <w:rPr>
          <w:rFonts w:cs="Calibri"/>
          <w:noProof/>
        </w:rPr>
        <w:t>1.3</w:t>
      </w:r>
      <w:r>
        <w:rPr>
          <w:rFonts w:asciiTheme="minorHAnsi" w:eastAsiaTheme="minorEastAsia" w:hAnsiTheme="minorHAnsi" w:cstheme="minorBidi"/>
          <w:b w:val="0"/>
          <w:noProof/>
          <w:sz w:val="24"/>
          <w:szCs w:val="24"/>
          <w:lang w:val="en-US" w:eastAsia="ja-JP"/>
        </w:rPr>
        <w:tab/>
      </w:r>
      <w:r w:rsidRPr="006F5B55">
        <w:rPr>
          <w:rFonts w:cs="Calibri"/>
          <w:noProof/>
        </w:rPr>
        <w:t>Third review (up to and including 30 March 2011)</w:t>
      </w:r>
      <w:r>
        <w:rPr>
          <w:noProof/>
        </w:rPr>
        <w:tab/>
      </w:r>
      <w:r>
        <w:rPr>
          <w:noProof/>
        </w:rPr>
        <w:fldChar w:fldCharType="begin"/>
      </w:r>
      <w:r>
        <w:rPr>
          <w:noProof/>
        </w:rPr>
        <w:instrText xml:space="preserve"> PAGEREF _Toc163108779 \h </w:instrText>
      </w:r>
      <w:r>
        <w:rPr>
          <w:noProof/>
        </w:rPr>
      </w:r>
      <w:r>
        <w:rPr>
          <w:noProof/>
        </w:rPr>
        <w:fldChar w:fldCharType="separate"/>
      </w:r>
      <w:r>
        <w:rPr>
          <w:noProof/>
        </w:rPr>
        <w:t>6</w:t>
      </w:r>
      <w:r>
        <w:rPr>
          <w:noProof/>
        </w:rPr>
        <w:fldChar w:fldCharType="end"/>
      </w:r>
    </w:p>
    <w:p w14:paraId="019B722E" w14:textId="77777777" w:rsidR="001F656F" w:rsidRDefault="001F656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1.3.1</w:t>
      </w:r>
      <w:r>
        <w:rPr>
          <w:rFonts w:asciiTheme="minorHAnsi" w:eastAsiaTheme="minorEastAsia" w:hAnsiTheme="minorHAnsi" w:cstheme="minorBidi"/>
          <w:noProof/>
          <w:sz w:val="24"/>
          <w:szCs w:val="24"/>
          <w:lang w:val="en-US" w:eastAsia="ja-JP"/>
        </w:rPr>
        <w:tab/>
      </w:r>
      <w:r>
        <w:rPr>
          <w:noProof/>
        </w:rPr>
        <w:t>Review outcome</w:t>
      </w:r>
      <w:r>
        <w:rPr>
          <w:noProof/>
        </w:rPr>
        <w:tab/>
      </w:r>
      <w:r>
        <w:rPr>
          <w:noProof/>
        </w:rPr>
        <w:fldChar w:fldCharType="begin"/>
      </w:r>
      <w:r>
        <w:rPr>
          <w:noProof/>
        </w:rPr>
        <w:instrText xml:space="preserve"> PAGEREF _Toc163108780 \h </w:instrText>
      </w:r>
      <w:r>
        <w:rPr>
          <w:noProof/>
        </w:rPr>
      </w:r>
      <w:r>
        <w:rPr>
          <w:noProof/>
        </w:rPr>
        <w:fldChar w:fldCharType="separate"/>
      </w:r>
      <w:r>
        <w:rPr>
          <w:noProof/>
        </w:rPr>
        <w:t>7</w:t>
      </w:r>
      <w:r>
        <w:rPr>
          <w:noProof/>
        </w:rPr>
        <w:fldChar w:fldCharType="end"/>
      </w:r>
    </w:p>
    <w:p w14:paraId="7FADD7CF" w14:textId="77777777"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14:paraId="364BFCE1" w14:textId="77777777" w:rsidR="00207D16" w:rsidRPr="002B1814" w:rsidRDefault="00207D16" w:rsidP="00207D16">
      <w:pPr>
        <w:rPr>
          <w:rFonts w:ascii="Calibri" w:hAnsi="Calibri" w:cs="Calibri"/>
        </w:rPr>
      </w:pPr>
    </w:p>
    <w:p w14:paraId="1C310DC5" w14:textId="77777777" w:rsidR="00207D16" w:rsidRPr="002B1814" w:rsidRDefault="00207D16" w:rsidP="00207D16">
      <w:pPr>
        <w:rPr>
          <w:rFonts w:ascii="Calibri" w:hAnsi="Calibri" w:cs="Calibri"/>
        </w:rPr>
      </w:pPr>
    </w:p>
    <w:p w14:paraId="20EA03BA" w14:textId="77777777" w:rsidR="00207D16" w:rsidRPr="002B1814" w:rsidRDefault="00207D16" w:rsidP="00207D16">
      <w:pPr>
        <w:rPr>
          <w:rFonts w:ascii="Calibri" w:hAnsi="Calibri" w:cs="Calibri"/>
        </w:rPr>
      </w:pPr>
    </w:p>
    <w:p w14:paraId="4C9DC326" w14:textId="77777777" w:rsidR="00207D16" w:rsidRDefault="007D79D8" w:rsidP="00207D16">
      <w:pPr>
        <w:pStyle w:val="Heading1"/>
        <w:rPr>
          <w:rFonts w:cs="Calibri"/>
        </w:rPr>
      </w:pPr>
      <w:bookmarkStart w:id="1" w:name="_Toc163108776"/>
      <w:r>
        <w:rPr>
          <w:rFonts w:cs="Calibri"/>
        </w:rPr>
        <w:lastRenderedPageBreak/>
        <w:t>Issues that need resolving</w:t>
      </w:r>
      <w:bookmarkEnd w:id="1"/>
    </w:p>
    <w:p w14:paraId="5B5454B5" w14:textId="77777777" w:rsidR="00207D16" w:rsidRDefault="007D79D8" w:rsidP="00207D16">
      <w:r>
        <w:t>This section tracks the issues that need resolving in either the EMI SLA draft, or issues stemming from the EGI SLA template that are not directly covered in the EMI SLA that need to be covered in a way.</w:t>
      </w:r>
    </w:p>
    <w:p w14:paraId="4D427DAB" w14:textId="77777777" w:rsidR="00207D16" w:rsidRPr="002B1814" w:rsidRDefault="007D79D8" w:rsidP="00207D16">
      <w:pPr>
        <w:rPr>
          <w:rFonts w:ascii="Calibri" w:hAnsi="Calibri" w:cs="Calibri"/>
        </w:rPr>
      </w:pPr>
      <w:r>
        <w:t>This section is organised as a log of reviews with a list of issues, which over time get resolved down to zero. At that time the SLA draft is accepted for signature.</w:t>
      </w:r>
    </w:p>
    <w:p w14:paraId="0ADBE1C4" w14:textId="77777777" w:rsidR="00207D16" w:rsidRDefault="007D79D8" w:rsidP="00207D16">
      <w:pPr>
        <w:pStyle w:val="Heading2"/>
        <w:rPr>
          <w:rFonts w:cs="Calibri"/>
        </w:rPr>
      </w:pPr>
      <w:bookmarkStart w:id="2" w:name="_Toc163108777"/>
      <w:r>
        <w:rPr>
          <w:rFonts w:cs="Calibri"/>
        </w:rPr>
        <w:t>First review (up to and including 7 March 2011)</w:t>
      </w:r>
      <w:bookmarkEnd w:id="2"/>
    </w:p>
    <w:p w14:paraId="3070CB1C" w14:textId="77777777" w:rsidR="00AE6ED9" w:rsidRDefault="00F32DA5" w:rsidP="00AE6ED9">
      <w:r>
        <w:t xml:space="preserve">The following table lists issues emerging from the </w:t>
      </w:r>
      <w:r w:rsidR="00AE6ED9">
        <w:t>EMI SLA draft v1.1</w:t>
      </w:r>
    </w:p>
    <w:tbl>
      <w:tblPr>
        <w:tblStyle w:val="TableGrid"/>
        <w:tblW w:w="0" w:type="auto"/>
        <w:tblLook w:val="04A0" w:firstRow="1" w:lastRow="0" w:firstColumn="1" w:lastColumn="0" w:noHBand="0" w:noVBand="1"/>
      </w:tblPr>
      <w:tblGrid>
        <w:gridCol w:w="657"/>
        <w:gridCol w:w="1294"/>
        <w:gridCol w:w="750"/>
        <w:gridCol w:w="2227"/>
        <w:gridCol w:w="4252"/>
      </w:tblGrid>
      <w:tr w:rsidR="00AE6ED9" w:rsidRPr="00F32DA5" w14:paraId="490EA68F" w14:textId="77777777" w:rsidTr="00680A46">
        <w:tc>
          <w:tcPr>
            <w:tcW w:w="657" w:type="dxa"/>
            <w:shd w:val="clear" w:color="auto" w:fill="C0C0C0"/>
          </w:tcPr>
          <w:p w14:paraId="722CBFC5" w14:textId="77777777" w:rsidR="00AE6ED9" w:rsidRPr="00F32DA5" w:rsidRDefault="00AE6ED9" w:rsidP="00AE6ED9">
            <w:pPr>
              <w:rPr>
                <w:b/>
                <w:sz w:val="20"/>
              </w:rPr>
            </w:pPr>
            <w:r w:rsidRPr="00F32DA5">
              <w:rPr>
                <w:b/>
                <w:sz w:val="20"/>
              </w:rPr>
              <w:t>Issue</w:t>
            </w:r>
          </w:p>
        </w:tc>
        <w:tc>
          <w:tcPr>
            <w:tcW w:w="1294" w:type="dxa"/>
            <w:shd w:val="clear" w:color="auto" w:fill="C0C0C0"/>
          </w:tcPr>
          <w:p w14:paraId="39C5D729" w14:textId="77777777" w:rsidR="00AE6ED9" w:rsidRPr="00F32DA5" w:rsidRDefault="00AE6ED9" w:rsidP="00AE6ED9">
            <w:pPr>
              <w:rPr>
                <w:b/>
                <w:sz w:val="20"/>
              </w:rPr>
            </w:pPr>
            <w:r w:rsidRPr="00F32DA5">
              <w:rPr>
                <w:b/>
                <w:sz w:val="20"/>
              </w:rPr>
              <w:t>Section(s)</w:t>
            </w:r>
          </w:p>
        </w:tc>
        <w:tc>
          <w:tcPr>
            <w:tcW w:w="750" w:type="dxa"/>
            <w:shd w:val="clear" w:color="auto" w:fill="C0C0C0"/>
          </w:tcPr>
          <w:p w14:paraId="75DC1DA0" w14:textId="77777777" w:rsidR="00AE6ED9" w:rsidRPr="00F32DA5" w:rsidRDefault="00AE6ED9" w:rsidP="00AE6ED9">
            <w:pPr>
              <w:rPr>
                <w:b/>
                <w:sz w:val="20"/>
              </w:rPr>
            </w:pPr>
            <w:r w:rsidRPr="00F32DA5">
              <w:rPr>
                <w:b/>
                <w:sz w:val="20"/>
              </w:rPr>
              <w:t>Status</w:t>
            </w:r>
          </w:p>
        </w:tc>
        <w:tc>
          <w:tcPr>
            <w:tcW w:w="2227" w:type="dxa"/>
            <w:shd w:val="clear" w:color="auto" w:fill="C0C0C0"/>
          </w:tcPr>
          <w:p w14:paraId="18698C3F" w14:textId="77777777" w:rsidR="00AE6ED9" w:rsidRPr="00F32DA5" w:rsidRDefault="00AE6ED9" w:rsidP="00AE6ED9">
            <w:pPr>
              <w:rPr>
                <w:b/>
                <w:sz w:val="20"/>
              </w:rPr>
            </w:pPr>
            <w:r w:rsidRPr="00F32DA5">
              <w:rPr>
                <w:b/>
                <w:sz w:val="20"/>
              </w:rPr>
              <w:t>Name</w:t>
            </w:r>
          </w:p>
        </w:tc>
        <w:tc>
          <w:tcPr>
            <w:tcW w:w="4252" w:type="dxa"/>
            <w:shd w:val="clear" w:color="auto" w:fill="C0C0C0"/>
          </w:tcPr>
          <w:p w14:paraId="24360FF3" w14:textId="77777777" w:rsidR="00AE6ED9" w:rsidRPr="00F32DA5" w:rsidRDefault="00AE6ED9" w:rsidP="00AE6ED9">
            <w:pPr>
              <w:rPr>
                <w:b/>
                <w:sz w:val="20"/>
              </w:rPr>
            </w:pPr>
            <w:r w:rsidRPr="00F32DA5">
              <w:rPr>
                <w:b/>
                <w:sz w:val="20"/>
              </w:rPr>
              <w:t>Description</w:t>
            </w:r>
          </w:p>
        </w:tc>
      </w:tr>
      <w:tr w:rsidR="00AE6ED9" w:rsidRPr="00AE6ED9" w14:paraId="0CB7680B" w14:textId="77777777" w:rsidTr="00680A46">
        <w:tc>
          <w:tcPr>
            <w:tcW w:w="657" w:type="dxa"/>
          </w:tcPr>
          <w:p w14:paraId="52188827" w14:textId="77777777" w:rsidR="00AE6ED9" w:rsidRPr="00AE6ED9" w:rsidRDefault="00AE6ED9" w:rsidP="00AE6ED9">
            <w:pPr>
              <w:rPr>
                <w:sz w:val="20"/>
              </w:rPr>
            </w:pPr>
            <w:r w:rsidRPr="00AE6ED9">
              <w:rPr>
                <w:sz w:val="20"/>
              </w:rPr>
              <w:t>1</w:t>
            </w:r>
          </w:p>
        </w:tc>
        <w:tc>
          <w:tcPr>
            <w:tcW w:w="1294" w:type="dxa"/>
          </w:tcPr>
          <w:p w14:paraId="122C0F98" w14:textId="77777777" w:rsidR="00AE6ED9" w:rsidRPr="00AE6ED9" w:rsidRDefault="00AE6ED9" w:rsidP="00AE6ED9">
            <w:pPr>
              <w:rPr>
                <w:sz w:val="20"/>
              </w:rPr>
            </w:pPr>
            <w:r>
              <w:rPr>
                <w:sz w:val="20"/>
              </w:rPr>
              <w:t>2. &amp;</w:t>
            </w:r>
            <w:r w:rsidRPr="00AE6ED9">
              <w:rPr>
                <w:sz w:val="20"/>
              </w:rPr>
              <w:t xml:space="preserve"> 3.</w:t>
            </w:r>
          </w:p>
        </w:tc>
        <w:tc>
          <w:tcPr>
            <w:tcW w:w="750" w:type="dxa"/>
          </w:tcPr>
          <w:p w14:paraId="3F5F0260" w14:textId="77777777" w:rsidR="00AE6ED9" w:rsidRDefault="00AE6ED9" w:rsidP="00AE6ED9">
            <w:pPr>
              <w:rPr>
                <w:sz w:val="20"/>
              </w:rPr>
            </w:pPr>
            <w:r>
              <w:rPr>
                <w:sz w:val="20"/>
              </w:rPr>
              <w:t>OPEN</w:t>
            </w:r>
          </w:p>
        </w:tc>
        <w:tc>
          <w:tcPr>
            <w:tcW w:w="2227" w:type="dxa"/>
          </w:tcPr>
          <w:p w14:paraId="3AEAF3A5" w14:textId="77777777" w:rsidR="00AE6ED9" w:rsidRPr="00AE6ED9" w:rsidRDefault="00AE6ED9" w:rsidP="00AE6ED9">
            <w:pPr>
              <w:rPr>
                <w:sz w:val="20"/>
              </w:rPr>
            </w:pPr>
            <w:r>
              <w:rPr>
                <w:sz w:val="20"/>
              </w:rPr>
              <w:t>&lt;Customer&gt; placeholder</w:t>
            </w:r>
          </w:p>
        </w:tc>
        <w:tc>
          <w:tcPr>
            <w:tcW w:w="4252" w:type="dxa"/>
          </w:tcPr>
          <w:p w14:paraId="6291C174" w14:textId="77777777" w:rsidR="00AE6ED9" w:rsidRPr="00AE6ED9" w:rsidRDefault="00F32DA5" w:rsidP="00AE6ED9">
            <w:pPr>
              <w:rPr>
                <w:sz w:val="20"/>
              </w:rPr>
            </w:pPr>
            <w:r>
              <w:rPr>
                <w:sz w:val="20"/>
              </w:rPr>
              <w:t>Placeholder should be replaced with “EGI”.</w:t>
            </w:r>
          </w:p>
        </w:tc>
      </w:tr>
      <w:tr w:rsidR="00AE6ED9" w:rsidRPr="00AE6ED9" w14:paraId="4A512835" w14:textId="77777777" w:rsidTr="00680A46">
        <w:tc>
          <w:tcPr>
            <w:tcW w:w="657" w:type="dxa"/>
          </w:tcPr>
          <w:p w14:paraId="731F2CDC" w14:textId="77777777" w:rsidR="00AE6ED9" w:rsidRPr="00AE6ED9" w:rsidRDefault="00F32DA5" w:rsidP="00AE6ED9">
            <w:pPr>
              <w:rPr>
                <w:sz w:val="20"/>
              </w:rPr>
            </w:pPr>
            <w:r>
              <w:rPr>
                <w:sz w:val="20"/>
              </w:rPr>
              <w:t>2</w:t>
            </w:r>
          </w:p>
        </w:tc>
        <w:tc>
          <w:tcPr>
            <w:tcW w:w="1294" w:type="dxa"/>
          </w:tcPr>
          <w:p w14:paraId="0E08DCFA" w14:textId="77777777" w:rsidR="00AE6ED9" w:rsidRPr="00AE6ED9" w:rsidRDefault="00F32DA5" w:rsidP="00AE6ED9">
            <w:pPr>
              <w:rPr>
                <w:sz w:val="20"/>
              </w:rPr>
            </w:pPr>
            <w:r>
              <w:rPr>
                <w:sz w:val="20"/>
              </w:rPr>
              <w:t xml:space="preserve">2. &amp; 3. </w:t>
            </w:r>
          </w:p>
        </w:tc>
        <w:tc>
          <w:tcPr>
            <w:tcW w:w="750" w:type="dxa"/>
          </w:tcPr>
          <w:p w14:paraId="0512096A" w14:textId="77777777" w:rsidR="00AE6ED9" w:rsidRPr="00AE6ED9" w:rsidRDefault="00F32DA5" w:rsidP="00AE6ED9">
            <w:pPr>
              <w:rPr>
                <w:sz w:val="20"/>
              </w:rPr>
            </w:pPr>
            <w:r>
              <w:rPr>
                <w:sz w:val="20"/>
              </w:rPr>
              <w:t>OPEN</w:t>
            </w:r>
          </w:p>
        </w:tc>
        <w:tc>
          <w:tcPr>
            <w:tcW w:w="2227" w:type="dxa"/>
          </w:tcPr>
          <w:p w14:paraId="1FFFC987" w14:textId="77777777" w:rsidR="00AE6ED9" w:rsidRPr="00AE6ED9" w:rsidRDefault="00F32DA5" w:rsidP="00AE6ED9">
            <w:pPr>
              <w:rPr>
                <w:sz w:val="20"/>
              </w:rPr>
            </w:pPr>
            <w:r>
              <w:rPr>
                <w:sz w:val="20"/>
              </w:rPr>
              <w:t>&lt;Customer product or service&gt; placeholder</w:t>
            </w:r>
          </w:p>
        </w:tc>
        <w:tc>
          <w:tcPr>
            <w:tcW w:w="4252" w:type="dxa"/>
          </w:tcPr>
          <w:p w14:paraId="32E3055A" w14:textId="77777777" w:rsidR="00AE6ED9" w:rsidRPr="00AE6ED9" w:rsidRDefault="00F32DA5" w:rsidP="00AE6ED9">
            <w:pPr>
              <w:rPr>
                <w:sz w:val="20"/>
              </w:rPr>
            </w:pPr>
            <w:r>
              <w:rPr>
                <w:sz w:val="20"/>
              </w:rPr>
              <w:t>Placeholder should be replaced with “EGI Production infrastructure.</w:t>
            </w:r>
          </w:p>
        </w:tc>
      </w:tr>
      <w:tr w:rsidR="00AE6ED9" w:rsidRPr="00AE6ED9" w14:paraId="67C6F603" w14:textId="77777777" w:rsidTr="00680A46">
        <w:tc>
          <w:tcPr>
            <w:tcW w:w="657" w:type="dxa"/>
          </w:tcPr>
          <w:p w14:paraId="26806348" w14:textId="77777777" w:rsidR="00AE6ED9" w:rsidRPr="00AE6ED9" w:rsidRDefault="00F32DA5" w:rsidP="00AE6ED9">
            <w:pPr>
              <w:rPr>
                <w:sz w:val="20"/>
              </w:rPr>
            </w:pPr>
            <w:r>
              <w:rPr>
                <w:sz w:val="20"/>
              </w:rPr>
              <w:t>3</w:t>
            </w:r>
          </w:p>
        </w:tc>
        <w:tc>
          <w:tcPr>
            <w:tcW w:w="1294" w:type="dxa"/>
          </w:tcPr>
          <w:p w14:paraId="266D7575" w14:textId="77777777" w:rsidR="00AE6ED9" w:rsidRPr="00AE6ED9" w:rsidRDefault="00F32DA5" w:rsidP="00AE6ED9">
            <w:pPr>
              <w:rPr>
                <w:sz w:val="20"/>
              </w:rPr>
            </w:pPr>
            <w:r>
              <w:rPr>
                <w:sz w:val="20"/>
              </w:rPr>
              <w:t>4.</w:t>
            </w:r>
          </w:p>
        </w:tc>
        <w:tc>
          <w:tcPr>
            <w:tcW w:w="750" w:type="dxa"/>
          </w:tcPr>
          <w:p w14:paraId="503FDB1A" w14:textId="77777777" w:rsidR="00AE6ED9" w:rsidRPr="00AE6ED9" w:rsidRDefault="00F32DA5" w:rsidP="00AE6ED9">
            <w:pPr>
              <w:rPr>
                <w:sz w:val="20"/>
              </w:rPr>
            </w:pPr>
            <w:r>
              <w:rPr>
                <w:sz w:val="20"/>
              </w:rPr>
              <w:t>OPEN</w:t>
            </w:r>
          </w:p>
        </w:tc>
        <w:tc>
          <w:tcPr>
            <w:tcW w:w="2227" w:type="dxa"/>
          </w:tcPr>
          <w:p w14:paraId="3CC546DE" w14:textId="77777777" w:rsidR="00AE6ED9" w:rsidRPr="00AE6ED9" w:rsidRDefault="00F32DA5" w:rsidP="00AE6ED9">
            <w:pPr>
              <w:rPr>
                <w:sz w:val="20"/>
              </w:rPr>
            </w:pPr>
            <w:r>
              <w:rPr>
                <w:sz w:val="20"/>
              </w:rPr>
              <w:t>EMI SLA Manager</w:t>
            </w:r>
          </w:p>
        </w:tc>
        <w:tc>
          <w:tcPr>
            <w:tcW w:w="4252" w:type="dxa"/>
          </w:tcPr>
          <w:p w14:paraId="773C84FE" w14:textId="77777777" w:rsidR="00AE6ED9" w:rsidRPr="00AE6ED9" w:rsidRDefault="00F32DA5" w:rsidP="00AE6ED9">
            <w:pPr>
              <w:rPr>
                <w:sz w:val="20"/>
              </w:rPr>
            </w:pPr>
            <w:r>
              <w:rPr>
                <w:sz w:val="20"/>
              </w:rPr>
              <w:t>Should be a named contact (see EMI draft section 11)</w:t>
            </w:r>
          </w:p>
        </w:tc>
      </w:tr>
      <w:tr w:rsidR="00AE6ED9" w:rsidRPr="00AE6ED9" w14:paraId="536F4029" w14:textId="77777777" w:rsidTr="00680A46">
        <w:tc>
          <w:tcPr>
            <w:tcW w:w="657" w:type="dxa"/>
          </w:tcPr>
          <w:p w14:paraId="56D8C71A" w14:textId="77777777" w:rsidR="00AE6ED9" w:rsidRPr="00AE6ED9" w:rsidRDefault="00F32DA5" w:rsidP="00AE6ED9">
            <w:pPr>
              <w:rPr>
                <w:sz w:val="20"/>
              </w:rPr>
            </w:pPr>
            <w:r>
              <w:rPr>
                <w:sz w:val="20"/>
              </w:rPr>
              <w:t>4</w:t>
            </w:r>
          </w:p>
        </w:tc>
        <w:tc>
          <w:tcPr>
            <w:tcW w:w="1294" w:type="dxa"/>
          </w:tcPr>
          <w:p w14:paraId="555B0D81" w14:textId="77777777" w:rsidR="00AE6ED9" w:rsidRPr="00AE6ED9" w:rsidRDefault="00F32DA5" w:rsidP="00AE6ED9">
            <w:pPr>
              <w:rPr>
                <w:sz w:val="20"/>
              </w:rPr>
            </w:pPr>
            <w:r>
              <w:rPr>
                <w:sz w:val="20"/>
              </w:rPr>
              <w:t>5.1</w:t>
            </w:r>
            <w:r w:rsidR="00680A46">
              <w:rPr>
                <w:sz w:val="20"/>
              </w:rPr>
              <w:t>, 5.4</w:t>
            </w:r>
          </w:p>
        </w:tc>
        <w:tc>
          <w:tcPr>
            <w:tcW w:w="750" w:type="dxa"/>
          </w:tcPr>
          <w:p w14:paraId="2121FEA2" w14:textId="77777777" w:rsidR="00AE6ED9" w:rsidRPr="00AE6ED9" w:rsidRDefault="00F32DA5" w:rsidP="00AE6ED9">
            <w:pPr>
              <w:rPr>
                <w:sz w:val="20"/>
              </w:rPr>
            </w:pPr>
            <w:r>
              <w:rPr>
                <w:sz w:val="20"/>
              </w:rPr>
              <w:t>OPEN</w:t>
            </w:r>
          </w:p>
        </w:tc>
        <w:tc>
          <w:tcPr>
            <w:tcW w:w="2227" w:type="dxa"/>
          </w:tcPr>
          <w:p w14:paraId="30324E7D" w14:textId="77777777" w:rsidR="00AE6ED9" w:rsidRPr="00AE6ED9" w:rsidRDefault="00F32DA5" w:rsidP="00AE6ED9">
            <w:pPr>
              <w:rPr>
                <w:sz w:val="20"/>
              </w:rPr>
            </w:pPr>
            <w:r>
              <w:rPr>
                <w:sz w:val="20"/>
              </w:rPr>
              <w:t>EMI Support Plan not found</w:t>
            </w:r>
          </w:p>
        </w:tc>
        <w:tc>
          <w:tcPr>
            <w:tcW w:w="4252" w:type="dxa"/>
          </w:tcPr>
          <w:p w14:paraId="14F9EFBF" w14:textId="77777777" w:rsidR="00AE6ED9" w:rsidRPr="00AE6ED9" w:rsidRDefault="00F32DA5" w:rsidP="00AE6ED9">
            <w:pPr>
              <w:rPr>
                <w:sz w:val="20"/>
              </w:rPr>
            </w:pPr>
            <w:r>
              <w:rPr>
                <w:sz w:val="20"/>
              </w:rPr>
              <w:t>The referenced EMI Support Plan cannot be found on the EMI web. Without this, a final review and acceptance is not possible.</w:t>
            </w:r>
          </w:p>
        </w:tc>
      </w:tr>
      <w:tr w:rsidR="00AE6ED9" w:rsidRPr="00AE6ED9" w14:paraId="29B5C11E" w14:textId="77777777" w:rsidTr="00680A46">
        <w:tc>
          <w:tcPr>
            <w:tcW w:w="657" w:type="dxa"/>
          </w:tcPr>
          <w:p w14:paraId="6DFD5390" w14:textId="77777777" w:rsidR="00AE6ED9" w:rsidRPr="00AE6ED9" w:rsidRDefault="00F32DA5" w:rsidP="00AE6ED9">
            <w:pPr>
              <w:rPr>
                <w:sz w:val="20"/>
              </w:rPr>
            </w:pPr>
            <w:r>
              <w:rPr>
                <w:sz w:val="20"/>
              </w:rPr>
              <w:t>5</w:t>
            </w:r>
          </w:p>
        </w:tc>
        <w:tc>
          <w:tcPr>
            <w:tcW w:w="1294" w:type="dxa"/>
          </w:tcPr>
          <w:p w14:paraId="2A7BA005" w14:textId="77777777" w:rsidR="00AE6ED9" w:rsidRPr="00AE6ED9" w:rsidRDefault="00F32DA5" w:rsidP="00AE6ED9">
            <w:pPr>
              <w:rPr>
                <w:sz w:val="20"/>
              </w:rPr>
            </w:pPr>
            <w:r>
              <w:rPr>
                <w:sz w:val="20"/>
              </w:rPr>
              <w:t>5.2.1</w:t>
            </w:r>
          </w:p>
        </w:tc>
        <w:tc>
          <w:tcPr>
            <w:tcW w:w="750" w:type="dxa"/>
          </w:tcPr>
          <w:p w14:paraId="63B69816" w14:textId="77777777" w:rsidR="00AE6ED9" w:rsidRPr="00AE6ED9" w:rsidRDefault="00F32DA5" w:rsidP="00AE6ED9">
            <w:pPr>
              <w:rPr>
                <w:sz w:val="20"/>
              </w:rPr>
            </w:pPr>
            <w:r>
              <w:rPr>
                <w:sz w:val="20"/>
              </w:rPr>
              <w:t>OPEN</w:t>
            </w:r>
          </w:p>
        </w:tc>
        <w:tc>
          <w:tcPr>
            <w:tcW w:w="2227" w:type="dxa"/>
          </w:tcPr>
          <w:p w14:paraId="6EF56DA3" w14:textId="77777777" w:rsidR="00AE6ED9" w:rsidRPr="00AE6ED9" w:rsidRDefault="00F32DA5" w:rsidP="00AE6ED9">
            <w:pPr>
              <w:rPr>
                <w:sz w:val="20"/>
              </w:rPr>
            </w:pPr>
            <w:r>
              <w:rPr>
                <w:sz w:val="20"/>
              </w:rPr>
              <w:t>Fully trained staff</w:t>
            </w:r>
          </w:p>
        </w:tc>
        <w:tc>
          <w:tcPr>
            <w:tcW w:w="4252" w:type="dxa"/>
          </w:tcPr>
          <w:p w14:paraId="587C0AC3" w14:textId="77777777" w:rsidR="00AE6ED9" w:rsidRPr="00AE6ED9" w:rsidRDefault="00F32DA5" w:rsidP="00AE6ED9">
            <w:pPr>
              <w:rPr>
                <w:sz w:val="20"/>
              </w:rPr>
            </w:pPr>
            <w:r>
              <w:rPr>
                <w:sz w:val="20"/>
              </w:rPr>
              <w:t>Definition of “fully trained”? Does EMI offer certification and training to satisfy this requirement?</w:t>
            </w:r>
          </w:p>
        </w:tc>
      </w:tr>
      <w:tr w:rsidR="00AE6ED9" w:rsidRPr="00AE6ED9" w14:paraId="405C7352" w14:textId="77777777" w:rsidTr="00680A46">
        <w:tc>
          <w:tcPr>
            <w:tcW w:w="657" w:type="dxa"/>
          </w:tcPr>
          <w:p w14:paraId="3CBE736A" w14:textId="77777777" w:rsidR="00AE6ED9" w:rsidRPr="00AE6ED9" w:rsidRDefault="00F32DA5" w:rsidP="00AE6ED9">
            <w:pPr>
              <w:rPr>
                <w:sz w:val="20"/>
              </w:rPr>
            </w:pPr>
            <w:r>
              <w:rPr>
                <w:sz w:val="20"/>
              </w:rPr>
              <w:t>6</w:t>
            </w:r>
          </w:p>
        </w:tc>
        <w:tc>
          <w:tcPr>
            <w:tcW w:w="1294" w:type="dxa"/>
          </w:tcPr>
          <w:p w14:paraId="715E8957" w14:textId="77777777" w:rsidR="00AE6ED9" w:rsidRPr="00AE6ED9" w:rsidRDefault="00F32DA5" w:rsidP="00AE6ED9">
            <w:pPr>
              <w:rPr>
                <w:sz w:val="20"/>
              </w:rPr>
            </w:pPr>
            <w:r>
              <w:rPr>
                <w:sz w:val="20"/>
              </w:rPr>
              <w:t>5.2.3</w:t>
            </w:r>
          </w:p>
        </w:tc>
        <w:tc>
          <w:tcPr>
            <w:tcW w:w="750" w:type="dxa"/>
          </w:tcPr>
          <w:p w14:paraId="52C7B4A8" w14:textId="77777777" w:rsidR="00AE6ED9" w:rsidRPr="00AE6ED9" w:rsidRDefault="00F32DA5" w:rsidP="00AE6ED9">
            <w:pPr>
              <w:rPr>
                <w:sz w:val="20"/>
              </w:rPr>
            </w:pPr>
            <w:r>
              <w:rPr>
                <w:sz w:val="20"/>
              </w:rPr>
              <w:t>OPEN</w:t>
            </w:r>
          </w:p>
        </w:tc>
        <w:tc>
          <w:tcPr>
            <w:tcW w:w="2227" w:type="dxa"/>
          </w:tcPr>
          <w:p w14:paraId="526A7A28" w14:textId="77777777" w:rsidR="00AE6ED9" w:rsidRPr="00AE6ED9" w:rsidRDefault="00F32DA5" w:rsidP="00AE6ED9">
            <w:pPr>
              <w:rPr>
                <w:sz w:val="20"/>
              </w:rPr>
            </w:pPr>
            <w:r>
              <w:rPr>
                <w:sz w:val="20"/>
              </w:rPr>
              <w:t>Network access</w:t>
            </w:r>
          </w:p>
        </w:tc>
        <w:tc>
          <w:tcPr>
            <w:tcW w:w="4252" w:type="dxa"/>
          </w:tcPr>
          <w:p w14:paraId="59DD244D" w14:textId="77777777" w:rsidR="00AE6ED9" w:rsidRDefault="00E6423F" w:rsidP="00AE6ED9">
            <w:pPr>
              <w:rPr>
                <w:sz w:val="20"/>
              </w:rPr>
            </w:pPr>
            <w:r>
              <w:rPr>
                <w:sz w:val="20"/>
              </w:rPr>
              <w:t>This paragraph seems</w:t>
            </w:r>
            <w:r w:rsidR="00F32DA5">
              <w:rPr>
                <w:sz w:val="20"/>
              </w:rPr>
              <w:t xml:space="preserve"> in violation of OLA with resource infrastructure providers.</w:t>
            </w:r>
          </w:p>
          <w:p w14:paraId="13C67AA9" w14:textId="77777777" w:rsidR="00F32DA5" w:rsidRPr="00AE6ED9" w:rsidRDefault="00E6423F" w:rsidP="00AE6ED9">
            <w:pPr>
              <w:rPr>
                <w:sz w:val="20"/>
              </w:rPr>
            </w:pPr>
            <w:r w:rsidRPr="00E6423F">
              <w:rPr>
                <w:sz w:val="20"/>
              </w:rPr>
              <w:sym w:font="Wingdings" w:char="F0E0"/>
            </w:r>
            <w:r>
              <w:rPr>
                <w:sz w:val="20"/>
              </w:rPr>
              <w:t xml:space="preserve"> </w:t>
            </w:r>
            <w:proofErr w:type="spellStart"/>
            <w:r>
              <w:rPr>
                <w:sz w:val="20"/>
              </w:rPr>
              <w:t>Tiziana</w:t>
            </w:r>
            <w:proofErr w:type="spellEnd"/>
            <w:r>
              <w:rPr>
                <w:sz w:val="20"/>
              </w:rPr>
              <w:t xml:space="preserve"> please check this!</w:t>
            </w:r>
          </w:p>
        </w:tc>
      </w:tr>
      <w:tr w:rsidR="00AE6ED9" w:rsidRPr="00AE6ED9" w14:paraId="1484DC8D" w14:textId="77777777" w:rsidTr="00680A46">
        <w:tc>
          <w:tcPr>
            <w:tcW w:w="657" w:type="dxa"/>
          </w:tcPr>
          <w:p w14:paraId="35C0E708" w14:textId="77777777" w:rsidR="00AE6ED9" w:rsidRPr="00AE6ED9" w:rsidRDefault="00E6423F" w:rsidP="00AE6ED9">
            <w:pPr>
              <w:rPr>
                <w:sz w:val="20"/>
              </w:rPr>
            </w:pPr>
            <w:r>
              <w:rPr>
                <w:sz w:val="20"/>
              </w:rPr>
              <w:t>7</w:t>
            </w:r>
          </w:p>
        </w:tc>
        <w:tc>
          <w:tcPr>
            <w:tcW w:w="1294" w:type="dxa"/>
          </w:tcPr>
          <w:p w14:paraId="446BFA5E" w14:textId="77777777" w:rsidR="00AE6ED9" w:rsidRPr="00AE6ED9" w:rsidRDefault="00680A46" w:rsidP="00680A46">
            <w:pPr>
              <w:rPr>
                <w:sz w:val="20"/>
              </w:rPr>
            </w:pPr>
            <w:r>
              <w:rPr>
                <w:sz w:val="20"/>
              </w:rPr>
              <w:t xml:space="preserve">5.2.6 (a), </w:t>
            </w:r>
            <w:r w:rsidR="00E6423F">
              <w:rPr>
                <w:sz w:val="20"/>
              </w:rPr>
              <w:t>(b)</w:t>
            </w:r>
          </w:p>
        </w:tc>
        <w:tc>
          <w:tcPr>
            <w:tcW w:w="750" w:type="dxa"/>
          </w:tcPr>
          <w:p w14:paraId="7D70C787" w14:textId="77777777" w:rsidR="00AE6ED9" w:rsidRPr="00AE6ED9" w:rsidRDefault="00E6423F" w:rsidP="00AE6ED9">
            <w:pPr>
              <w:rPr>
                <w:sz w:val="20"/>
              </w:rPr>
            </w:pPr>
            <w:r>
              <w:rPr>
                <w:sz w:val="20"/>
              </w:rPr>
              <w:t>OPEN</w:t>
            </w:r>
          </w:p>
        </w:tc>
        <w:tc>
          <w:tcPr>
            <w:tcW w:w="2227" w:type="dxa"/>
          </w:tcPr>
          <w:p w14:paraId="6AA38F02" w14:textId="77777777" w:rsidR="00AE6ED9" w:rsidRPr="00AE6ED9" w:rsidRDefault="005727B8" w:rsidP="00AE6ED9">
            <w:pPr>
              <w:rPr>
                <w:sz w:val="20"/>
              </w:rPr>
            </w:pPr>
            <w:r>
              <w:rPr>
                <w:sz w:val="20"/>
              </w:rPr>
              <w:t>Update notification</w:t>
            </w:r>
          </w:p>
        </w:tc>
        <w:tc>
          <w:tcPr>
            <w:tcW w:w="4252" w:type="dxa"/>
          </w:tcPr>
          <w:p w14:paraId="1FB2416E" w14:textId="77777777" w:rsidR="00AE6ED9" w:rsidRPr="00AE6ED9" w:rsidRDefault="005727B8" w:rsidP="005727B8">
            <w:pPr>
              <w:rPr>
                <w:sz w:val="20"/>
              </w:rPr>
            </w:pPr>
            <w:r>
              <w:rPr>
                <w:sz w:val="20"/>
              </w:rPr>
              <w:t>There is no explicit mechanism defined in the SLA as to how the notification of available updates takes place. EGI wishes to explicitly include the GGUS ticket based notification mechanism in the SLA.</w:t>
            </w:r>
          </w:p>
        </w:tc>
      </w:tr>
      <w:tr w:rsidR="005727B8" w:rsidRPr="00AE6ED9" w14:paraId="67837764" w14:textId="77777777" w:rsidTr="00680A46">
        <w:tc>
          <w:tcPr>
            <w:tcW w:w="657" w:type="dxa"/>
          </w:tcPr>
          <w:p w14:paraId="480DBA8E" w14:textId="77777777" w:rsidR="005727B8" w:rsidRDefault="005727B8" w:rsidP="00AE6ED9">
            <w:pPr>
              <w:rPr>
                <w:sz w:val="20"/>
              </w:rPr>
            </w:pPr>
            <w:r>
              <w:rPr>
                <w:sz w:val="20"/>
              </w:rPr>
              <w:t>8</w:t>
            </w:r>
          </w:p>
        </w:tc>
        <w:tc>
          <w:tcPr>
            <w:tcW w:w="1294" w:type="dxa"/>
          </w:tcPr>
          <w:p w14:paraId="51BAAF4E" w14:textId="77777777" w:rsidR="005727B8" w:rsidRDefault="005727B8" w:rsidP="00AE6ED9">
            <w:pPr>
              <w:rPr>
                <w:sz w:val="20"/>
              </w:rPr>
            </w:pPr>
            <w:r>
              <w:rPr>
                <w:sz w:val="20"/>
              </w:rPr>
              <w:t>5.2.6</w:t>
            </w:r>
          </w:p>
        </w:tc>
        <w:tc>
          <w:tcPr>
            <w:tcW w:w="750" w:type="dxa"/>
          </w:tcPr>
          <w:p w14:paraId="01E41563" w14:textId="77777777" w:rsidR="005727B8" w:rsidRDefault="005727B8" w:rsidP="00AE6ED9">
            <w:pPr>
              <w:rPr>
                <w:sz w:val="20"/>
              </w:rPr>
            </w:pPr>
            <w:r>
              <w:rPr>
                <w:sz w:val="20"/>
              </w:rPr>
              <w:t>OPEN</w:t>
            </w:r>
          </w:p>
        </w:tc>
        <w:tc>
          <w:tcPr>
            <w:tcW w:w="2227" w:type="dxa"/>
          </w:tcPr>
          <w:p w14:paraId="26152679" w14:textId="77777777" w:rsidR="005727B8" w:rsidRDefault="005727B8" w:rsidP="00AE6ED9">
            <w:pPr>
              <w:rPr>
                <w:sz w:val="20"/>
              </w:rPr>
            </w:pPr>
            <w:r>
              <w:rPr>
                <w:sz w:val="20"/>
              </w:rPr>
              <w:t>Definition of “regularly”</w:t>
            </w:r>
          </w:p>
        </w:tc>
        <w:tc>
          <w:tcPr>
            <w:tcW w:w="4252" w:type="dxa"/>
          </w:tcPr>
          <w:p w14:paraId="1471A995" w14:textId="77777777" w:rsidR="005727B8" w:rsidRDefault="005727B8" w:rsidP="005727B8">
            <w:pPr>
              <w:rPr>
                <w:sz w:val="20"/>
              </w:rPr>
            </w:pPr>
            <w:r>
              <w:rPr>
                <w:sz w:val="20"/>
              </w:rPr>
              <w:t>What is EMI’s exact definition of “regularly”?</w:t>
            </w:r>
          </w:p>
        </w:tc>
      </w:tr>
      <w:tr w:rsidR="005727B8" w:rsidRPr="00AE6ED9" w14:paraId="3C19A9A0" w14:textId="77777777" w:rsidTr="00680A46">
        <w:tc>
          <w:tcPr>
            <w:tcW w:w="657" w:type="dxa"/>
          </w:tcPr>
          <w:p w14:paraId="3988355C" w14:textId="77777777" w:rsidR="005727B8" w:rsidRDefault="005727B8" w:rsidP="00AE6ED9">
            <w:pPr>
              <w:rPr>
                <w:sz w:val="20"/>
              </w:rPr>
            </w:pPr>
            <w:r>
              <w:rPr>
                <w:sz w:val="20"/>
              </w:rPr>
              <w:t>9</w:t>
            </w:r>
          </w:p>
        </w:tc>
        <w:tc>
          <w:tcPr>
            <w:tcW w:w="1294" w:type="dxa"/>
          </w:tcPr>
          <w:p w14:paraId="3973D1D4" w14:textId="77777777" w:rsidR="005727B8" w:rsidRDefault="005727B8" w:rsidP="00AE6ED9">
            <w:pPr>
              <w:rPr>
                <w:sz w:val="20"/>
              </w:rPr>
            </w:pPr>
            <w:r>
              <w:rPr>
                <w:sz w:val="20"/>
              </w:rPr>
              <w:t>5.2.6 (c)</w:t>
            </w:r>
          </w:p>
        </w:tc>
        <w:tc>
          <w:tcPr>
            <w:tcW w:w="750" w:type="dxa"/>
          </w:tcPr>
          <w:p w14:paraId="2B458FD4" w14:textId="77777777" w:rsidR="005727B8" w:rsidRDefault="005727B8" w:rsidP="00AE6ED9">
            <w:pPr>
              <w:rPr>
                <w:sz w:val="20"/>
              </w:rPr>
            </w:pPr>
            <w:r>
              <w:rPr>
                <w:sz w:val="20"/>
              </w:rPr>
              <w:t>OPEN</w:t>
            </w:r>
          </w:p>
        </w:tc>
        <w:tc>
          <w:tcPr>
            <w:tcW w:w="2227" w:type="dxa"/>
          </w:tcPr>
          <w:p w14:paraId="26AB7B61" w14:textId="77777777" w:rsidR="005727B8" w:rsidRDefault="005727B8" w:rsidP="00AE6ED9">
            <w:pPr>
              <w:rPr>
                <w:sz w:val="20"/>
              </w:rPr>
            </w:pPr>
            <w:r>
              <w:rPr>
                <w:sz w:val="20"/>
              </w:rPr>
              <w:t>Recommended configuration parameters</w:t>
            </w:r>
          </w:p>
        </w:tc>
        <w:tc>
          <w:tcPr>
            <w:tcW w:w="4252" w:type="dxa"/>
          </w:tcPr>
          <w:p w14:paraId="1BA8F708" w14:textId="77777777" w:rsidR="005727B8" w:rsidRDefault="005727B8" w:rsidP="005727B8">
            <w:pPr>
              <w:rPr>
                <w:sz w:val="20"/>
              </w:rPr>
            </w:pPr>
            <w:r>
              <w:rPr>
                <w:sz w:val="20"/>
              </w:rPr>
              <w:t>Does this cover Best Practice documents that are currently prepared under the lead of the DMSU?</w:t>
            </w:r>
          </w:p>
        </w:tc>
      </w:tr>
      <w:tr w:rsidR="005727B8" w:rsidRPr="00AE6ED9" w14:paraId="5493F5FD" w14:textId="77777777" w:rsidTr="00680A46">
        <w:tc>
          <w:tcPr>
            <w:tcW w:w="657" w:type="dxa"/>
          </w:tcPr>
          <w:p w14:paraId="3F8D300C" w14:textId="77777777" w:rsidR="005727B8" w:rsidRDefault="005727B8" w:rsidP="00AE6ED9">
            <w:pPr>
              <w:rPr>
                <w:sz w:val="20"/>
              </w:rPr>
            </w:pPr>
            <w:r>
              <w:rPr>
                <w:sz w:val="20"/>
              </w:rPr>
              <w:t>10</w:t>
            </w:r>
          </w:p>
        </w:tc>
        <w:tc>
          <w:tcPr>
            <w:tcW w:w="1294" w:type="dxa"/>
          </w:tcPr>
          <w:p w14:paraId="26791CCB" w14:textId="77777777" w:rsidR="005727B8" w:rsidRDefault="005727B8" w:rsidP="00AE6ED9">
            <w:pPr>
              <w:rPr>
                <w:sz w:val="20"/>
              </w:rPr>
            </w:pPr>
            <w:r>
              <w:rPr>
                <w:sz w:val="20"/>
              </w:rPr>
              <w:t>5.3.4</w:t>
            </w:r>
          </w:p>
        </w:tc>
        <w:tc>
          <w:tcPr>
            <w:tcW w:w="750" w:type="dxa"/>
          </w:tcPr>
          <w:p w14:paraId="0F5268D2" w14:textId="77777777" w:rsidR="005727B8" w:rsidRDefault="005727B8" w:rsidP="00AE6ED9">
            <w:pPr>
              <w:rPr>
                <w:sz w:val="20"/>
              </w:rPr>
            </w:pPr>
            <w:r>
              <w:rPr>
                <w:sz w:val="20"/>
              </w:rPr>
              <w:t>OPEN</w:t>
            </w:r>
          </w:p>
        </w:tc>
        <w:tc>
          <w:tcPr>
            <w:tcW w:w="2227" w:type="dxa"/>
          </w:tcPr>
          <w:p w14:paraId="678C084B" w14:textId="77777777" w:rsidR="005727B8" w:rsidRDefault="005727B8" w:rsidP="00AE6ED9">
            <w:pPr>
              <w:rPr>
                <w:sz w:val="20"/>
              </w:rPr>
            </w:pPr>
            <w:r>
              <w:rPr>
                <w:sz w:val="20"/>
              </w:rPr>
              <w:t>Service exclusions</w:t>
            </w:r>
          </w:p>
        </w:tc>
        <w:tc>
          <w:tcPr>
            <w:tcW w:w="4252" w:type="dxa"/>
          </w:tcPr>
          <w:p w14:paraId="02271472" w14:textId="77777777" w:rsidR="005727B8" w:rsidRDefault="005727B8" w:rsidP="005727B8">
            <w:pPr>
              <w:rPr>
                <w:sz w:val="20"/>
              </w:rPr>
            </w:pPr>
            <w:r>
              <w:rPr>
                <w:sz w:val="20"/>
              </w:rPr>
              <w:t>What has changed compared to “before”? I (Michel) have no idea on what has happened before, so I need input and guidance for the negotiation!</w:t>
            </w:r>
          </w:p>
          <w:p w14:paraId="3047FBCF" w14:textId="77777777" w:rsidR="005727B8" w:rsidRDefault="005727B8" w:rsidP="005727B8">
            <w:pPr>
              <w:rPr>
                <w:sz w:val="20"/>
              </w:rPr>
            </w:pPr>
            <w:r w:rsidRPr="005727B8">
              <w:rPr>
                <w:sz w:val="20"/>
              </w:rPr>
              <w:sym w:font="Wingdings" w:char="F0E0"/>
            </w:r>
            <w:r>
              <w:rPr>
                <w:sz w:val="20"/>
              </w:rPr>
              <w:t xml:space="preserve"> Steven, </w:t>
            </w:r>
            <w:proofErr w:type="spellStart"/>
            <w:r>
              <w:rPr>
                <w:sz w:val="20"/>
              </w:rPr>
              <w:t>Tiziana</w:t>
            </w:r>
            <w:proofErr w:type="spellEnd"/>
            <w:r>
              <w:rPr>
                <w:sz w:val="20"/>
              </w:rPr>
              <w:t xml:space="preserve"> </w:t>
            </w:r>
          </w:p>
        </w:tc>
      </w:tr>
      <w:tr w:rsidR="00680A46" w:rsidRPr="00AE6ED9" w14:paraId="570CA5B3" w14:textId="77777777" w:rsidTr="00680A46">
        <w:tc>
          <w:tcPr>
            <w:tcW w:w="657" w:type="dxa"/>
          </w:tcPr>
          <w:p w14:paraId="4B50C7D2" w14:textId="77777777" w:rsidR="00680A46" w:rsidRDefault="00680A46" w:rsidP="00AE6ED9">
            <w:pPr>
              <w:rPr>
                <w:sz w:val="20"/>
              </w:rPr>
            </w:pPr>
            <w:r>
              <w:rPr>
                <w:sz w:val="20"/>
              </w:rPr>
              <w:t>11</w:t>
            </w:r>
          </w:p>
        </w:tc>
        <w:tc>
          <w:tcPr>
            <w:tcW w:w="1294" w:type="dxa"/>
          </w:tcPr>
          <w:p w14:paraId="750EA61E" w14:textId="77777777" w:rsidR="00680A46" w:rsidRDefault="00680A46" w:rsidP="00680A46">
            <w:pPr>
              <w:rPr>
                <w:sz w:val="20"/>
              </w:rPr>
            </w:pPr>
            <w:r>
              <w:rPr>
                <w:sz w:val="20"/>
              </w:rPr>
              <w:t>5.3.4 (e)</w:t>
            </w:r>
          </w:p>
        </w:tc>
        <w:tc>
          <w:tcPr>
            <w:tcW w:w="750" w:type="dxa"/>
          </w:tcPr>
          <w:p w14:paraId="4E07BD24" w14:textId="77777777" w:rsidR="00680A46" w:rsidRDefault="00680A46" w:rsidP="00AE6ED9">
            <w:pPr>
              <w:rPr>
                <w:sz w:val="20"/>
              </w:rPr>
            </w:pPr>
            <w:r>
              <w:rPr>
                <w:sz w:val="20"/>
              </w:rPr>
              <w:t>OPEN</w:t>
            </w:r>
          </w:p>
        </w:tc>
        <w:tc>
          <w:tcPr>
            <w:tcW w:w="2227" w:type="dxa"/>
          </w:tcPr>
          <w:p w14:paraId="19EFEBD1" w14:textId="77777777" w:rsidR="00680A46" w:rsidRDefault="00680A46" w:rsidP="00680A46">
            <w:pPr>
              <w:rPr>
                <w:sz w:val="20"/>
              </w:rPr>
            </w:pPr>
            <w:r>
              <w:rPr>
                <w:sz w:val="20"/>
              </w:rPr>
              <w:t>Definition of “approved distribution channel”</w:t>
            </w:r>
          </w:p>
        </w:tc>
        <w:tc>
          <w:tcPr>
            <w:tcW w:w="4252" w:type="dxa"/>
          </w:tcPr>
          <w:p w14:paraId="24366D52" w14:textId="77777777" w:rsidR="00680A46" w:rsidRDefault="00680A46" w:rsidP="005727B8">
            <w:pPr>
              <w:rPr>
                <w:sz w:val="20"/>
              </w:rPr>
            </w:pPr>
            <w:r>
              <w:rPr>
                <w:sz w:val="20"/>
              </w:rPr>
              <w:t>What exactly is an approved software distribution channel? What are the criteria and approval procedure?</w:t>
            </w:r>
          </w:p>
        </w:tc>
      </w:tr>
      <w:tr w:rsidR="00680A46" w:rsidRPr="00AE6ED9" w14:paraId="322B94B5" w14:textId="77777777" w:rsidTr="00680A46">
        <w:tc>
          <w:tcPr>
            <w:tcW w:w="657" w:type="dxa"/>
          </w:tcPr>
          <w:p w14:paraId="1B3DA5BD" w14:textId="77777777" w:rsidR="00680A46" w:rsidRDefault="00680A46" w:rsidP="00AE6ED9">
            <w:pPr>
              <w:rPr>
                <w:sz w:val="20"/>
              </w:rPr>
            </w:pPr>
            <w:r>
              <w:rPr>
                <w:sz w:val="20"/>
              </w:rPr>
              <w:t>12</w:t>
            </w:r>
          </w:p>
        </w:tc>
        <w:tc>
          <w:tcPr>
            <w:tcW w:w="1294" w:type="dxa"/>
          </w:tcPr>
          <w:p w14:paraId="270BF1BE" w14:textId="77777777" w:rsidR="00680A46" w:rsidRDefault="00680A46" w:rsidP="00680A46">
            <w:pPr>
              <w:rPr>
                <w:sz w:val="20"/>
              </w:rPr>
            </w:pPr>
            <w:r>
              <w:rPr>
                <w:sz w:val="20"/>
              </w:rPr>
              <w:t>5.4</w:t>
            </w:r>
            <w:r w:rsidR="00B1677B">
              <w:rPr>
                <w:sz w:val="20"/>
              </w:rPr>
              <w:t xml:space="preserve"> paragraph 3</w:t>
            </w:r>
          </w:p>
        </w:tc>
        <w:tc>
          <w:tcPr>
            <w:tcW w:w="750" w:type="dxa"/>
          </w:tcPr>
          <w:p w14:paraId="1045D4B4" w14:textId="77777777" w:rsidR="00680A46" w:rsidRDefault="00680A46" w:rsidP="00AE6ED9">
            <w:pPr>
              <w:rPr>
                <w:sz w:val="20"/>
              </w:rPr>
            </w:pPr>
            <w:r>
              <w:rPr>
                <w:sz w:val="20"/>
              </w:rPr>
              <w:t>OPEN</w:t>
            </w:r>
          </w:p>
        </w:tc>
        <w:tc>
          <w:tcPr>
            <w:tcW w:w="2227" w:type="dxa"/>
          </w:tcPr>
          <w:p w14:paraId="61FDA63A" w14:textId="77777777" w:rsidR="00680A46" w:rsidRDefault="00B1677B" w:rsidP="00680A46">
            <w:pPr>
              <w:rPr>
                <w:sz w:val="20"/>
              </w:rPr>
            </w:pPr>
            <w:r>
              <w:rPr>
                <w:sz w:val="20"/>
              </w:rPr>
              <w:t>Problem Management</w:t>
            </w:r>
          </w:p>
        </w:tc>
        <w:tc>
          <w:tcPr>
            <w:tcW w:w="4252" w:type="dxa"/>
          </w:tcPr>
          <w:p w14:paraId="5ADED8AF" w14:textId="77777777" w:rsidR="00680A46" w:rsidRDefault="00B1677B" w:rsidP="00B1677B">
            <w:pPr>
              <w:rPr>
                <w:sz w:val="20"/>
              </w:rPr>
            </w:pPr>
            <w:r>
              <w:rPr>
                <w:sz w:val="20"/>
              </w:rPr>
              <w:t>An explicit link and synchronisation between this EMI defect tracking system, and the GGUS SUs is missing.</w:t>
            </w:r>
          </w:p>
        </w:tc>
      </w:tr>
      <w:tr w:rsidR="00B1677B" w:rsidRPr="00AE6ED9" w14:paraId="7778D8BF" w14:textId="77777777" w:rsidTr="00680A46">
        <w:tc>
          <w:tcPr>
            <w:tcW w:w="657" w:type="dxa"/>
          </w:tcPr>
          <w:p w14:paraId="4CF4A325" w14:textId="77777777" w:rsidR="00B1677B" w:rsidRDefault="00B1677B" w:rsidP="00AE6ED9">
            <w:pPr>
              <w:rPr>
                <w:sz w:val="20"/>
              </w:rPr>
            </w:pPr>
            <w:r>
              <w:rPr>
                <w:sz w:val="20"/>
              </w:rPr>
              <w:t>13</w:t>
            </w:r>
          </w:p>
        </w:tc>
        <w:tc>
          <w:tcPr>
            <w:tcW w:w="1294" w:type="dxa"/>
          </w:tcPr>
          <w:p w14:paraId="60238F8A" w14:textId="77777777" w:rsidR="00B1677B" w:rsidRDefault="00B1677B" w:rsidP="00680A46">
            <w:pPr>
              <w:rPr>
                <w:sz w:val="20"/>
              </w:rPr>
            </w:pPr>
            <w:r>
              <w:rPr>
                <w:sz w:val="20"/>
              </w:rPr>
              <w:t>11</w:t>
            </w:r>
          </w:p>
        </w:tc>
        <w:tc>
          <w:tcPr>
            <w:tcW w:w="750" w:type="dxa"/>
          </w:tcPr>
          <w:p w14:paraId="4F469DD0" w14:textId="77777777" w:rsidR="00B1677B" w:rsidRDefault="00B1677B" w:rsidP="00AE6ED9">
            <w:pPr>
              <w:rPr>
                <w:sz w:val="20"/>
              </w:rPr>
            </w:pPr>
            <w:r>
              <w:rPr>
                <w:sz w:val="20"/>
              </w:rPr>
              <w:t>OPEN</w:t>
            </w:r>
          </w:p>
        </w:tc>
        <w:tc>
          <w:tcPr>
            <w:tcW w:w="2227" w:type="dxa"/>
          </w:tcPr>
          <w:p w14:paraId="632117FE" w14:textId="77777777" w:rsidR="00B1677B" w:rsidRDefault="00B1677B" w:rsidP="00680A46">
            <w:pPr>
              <w:rPr>
                <w:sz w:val="20"/>
              </w:rPr>
            </w:pPr>
            <w:r>
              <w:rPr>
                <w:sz w:val="20"/>
              </w:rPr>
              <w:t>Named contacts</w:t>
            </w:r>
          </w:p>
        </w:tc>
        <w:tc>
          <w:tcPr>
            <w:tcW w:w="4252" w:type="dxa"/>
          </w:tcPr>
          <w:p w14:paraId="07A2468A" w14:textId="77777777" w:rsidR="00B1677B" w:rsidRDefault="00B1677B" w:rsidP="00B1677B">
            <w:pPr>
              <w:rPr>
                <w:sz w:val="20"/>
              </w:rPr>
            </w:pPr>
            <w:r>
              <w:rPr>
                <w:sz w:val="20"/>
              </w:rPr>
              <w:t>What are the named contacts?</w:t>
            </w:r>
          </w:p>
        </w:tc>
      </w:tr>
      <w:tr w:rsidR="00B1677B" w:rsidRPr="00AE6ED9" w14:paraId="5689F187" w14:textId="77777777" w:rsidTr="00680A46">
        <w:tc>
          <w:tcPr>
            <w:tcW w:w="657" w:type="dxa"/>
          </w:tcPr>
          <w:p w14:paraId="72201590" w14:textId="77777777" w:rsidR="00B1677B" w:rsidRDefault="00B1677B" w:rsidP="00AE6ED9">
            <w:pPr>
              <w:rPr>
                <w:sz w:val="20"/>
              </w:rPr>
            </w:pPr>
            <w:r>
              <w:rPr>
                <w:sz w:val="20"/>
              </w:rPr>
              <w:lastRenderedPageBreak/>
              <w:t>14</w:t>
            </w:r>
          </w:p>
        </w:tc>
        <w:tc>
          <w:tcPr>
            <w:tcW w:w="1294" w:type="dxa"/>
          </w:tcPr>
          <w:p w14:paraId="53E83105" w14:textId="77777777" w:rsidR="00B1677B" w:rsidRDefault="00B1677B" w:rsidP="00680A46">
            <w:pPr>
              <w:rPr>
                <w:sz w:val="20"/>
              </w:rPr>
            </w:pPr>
            <w:proofErr w:type="gramStart"/>
            <w:r>
              <w:rPr>
                <w:sz w:val="20"/>
              </w:rPr>
              <w:t>n</w:t>
            </w:r>
            <w:proofErr w:type="gramEnd"/>
            <w:r>
              <w:rPr>
                <w:sz w:val="20"/>
              </w:rPr>
              <w:t>/a</w:t>
            </w:r>
          </w:p>
        </w:tc>
        <w:tc>
          <w:tcPr>
            <w:tcW w:w="750" w:type="dxa"/>
          </w:tcPr>
          <w:p w14:paraId="0DAD6276" w14:textId="77777777" w:rsidR="00B1677B" w:rsidRDefault="00B1677B" w:rsidP="00AE6ED9">
            <w:pPr>
              <w:rPr>
                <w:sz w:val="20"/>
              </w:rPr>
            </w:pPr>
            <w:r>
              <w:rPr>
                <w:sz w:val="20"/>
              </w:rPr>
              <w:t>OPEN</w:t>
            </w:r>
          </w:p>
        </w:tc>
        <w:tc>
          <w:tcPr>
            <w:tcW w:w="2227" w:type="dxa"/>
          </w:tcPr>
          <w:p w14:paraId="4FA713F2" w14:textId="77777777" w:rsidR="00B1677B" w:rsidRDefault="00B1677B" w:rsidP="00680A46">
            <w:pPr>
              <w:rPr>
                <w:sz w:val="20"/>
              </w:rPr>
            </w:pPr>
            <w:r>
              <w:rPr>
                <w:sz w:val="20"/>
              </w:rPr>
              <w:t>DMSU involvement</w:t>
            </w:r>
          </w:p>
        </w:tc>
        <w:tc>
          <w:tcPr>
            <w:tcW w:w="4252" w:type="dxa"/>
          </w:tcPr>
          <w:p w14:paraId="57B504E7" w14:textId="77777777" w:rsidR="00B1677B" w:rsidRDefault="00B1677B" w:rsidP="00B1677B">
            <w:pPr>
              <w:rPr>
                <w:sz w:val="20"/>
              </w:rPr>
            </w:pPr>
            <w:r>
              <w:rPr>
                <w:sz w:val="20"/>
              </w:rPr>
              <w:t>There is no clear commitment in engaging with DMSU other than tickets in EMI Service Desk (i.e. EMI 3</w:t>
            </w:r>
            <w:r w:rsidRPr="00B1677B">
              <w:rPr>
                <w:sz w:val="20"/>
                <w:vertAlign w:val="superscript"/>
              </w:rPr>
              <w:t>rd</w:t>
            </w:r>
            <w:r>
              <w:rPr>
                <w:sz w:val="20"/>
              </w:rPr>
              <w:t xml:space="preserve"> party GGUS SUs). </w:t>
            </w:r>
            <w:r w:rsidR="008D5E13">
              <w:rPr>
                <w:sz w:val="20"/>
              </w:rPr>
              <w:t>DMSU requires technical experts involved in assessing the problem severity.</w:t>
            </w:r>
          </w:p>
        </w:tc>
      </w:tr>
      <w:tr w:rsidR="00B1677B" w:rsidRPr="00AE6ED9" w14:paraId="3626E3FA" w14:textId="77777777" w:rsidTr="00680A46">
        <w:tc>
          <w:tcPr>
            <w:tcW w:w="657" w:type="dxa"/>
          </w:tcPr>
          <w:p w14:paraId="05039932" w14:textId="77777777" w:rsidR="00B1677B" w:rsidRDefault="00B1677B" w:rsidP="00AE6ED9">
            <w:pPr>
              <w:rPr>
                <w:sz w:val="20"/>
              </w:rPr>
            </w:pPr>
            <w:r>
              <w:rPr>
                <w:sz w:val="20"/>
              </w:rPr>
              <w:t>15</w:t>
            </w:r>
          </w:p>
        </w:tc>
        <w:tc>
          <w:tcPr>
            <w:tcW w:w="1294" w:type="dxa"/>
          </w:tcPr>
          <w:p w14:paraId="7618BBC6" w14:textId="77777777" w:rsidR="00B1677B" w:rsidRDefault="00B1677B" w:rsidP="00680A46">
            <w:pPr>
              <w:rPr>
                <w:sz w:val="20"/>
              </w:rPr>
            </w:pPr>
            <w:proofErr w:type="gramStart"/>
            <w:r>
              <w:rPr>
                <w:sz w:val="20"/>
              </w:rPr>
              <w:t>n</w:t>
            </w:r>
            <w:proofErr w:type="gramEnd"/>
            <w:r>
              <w:rPr>
                <w:sz w:val="20"/>
              </w:rPr>
              <w:t>/a</w:t>
            </w:r>
          </w:p>
        </w:tc>
        <w:tc>
          <w:tcPr>
            <w:tcW w:w="750" w:type="dxa"/>
          </w:tcPr>
          <w:p w14:paraId="2DE88601" w14:textId="77777777" w:rsidR="00B1677B" w:rsidRDefault="00B1677B" w:rsidP="00AE6ED9">
            <w:pPr>
              <w:rPr>
                <w:sz w:val="20"/>
              </w:rPr>
            </w:pPr>
            <w:r>
              <w:rPr>
                <w:sz w:val="20"/>
              </w:rPr>
              <w:t>OPEN</w:t>
            </w:r>
          </w:p>
        </w:tc>
        <w:tc>
          <w:tcPr>
            <w:tcW w:w="2227" w:type="dxa"/>
          </w:tcPr>
          <w:p w14:paraId="4C699D91" w14:textId="77777777" w:rsidR="00B1677B" w:rsidRDefault="00B1677B" w:rsidP="00680A46">
            <w:pPr>
              <w:rPr>
                <w:sz w:val="20"/>
              </w:rPr>
            </w:pPr>
            <w:r>
              <w:rPr>
                <w:sz w:val="20"/>
              </w:rPr>
              <w:t>SVG/RAT involvement</w:t>
            </w:r>
          </w:p>
        </w:tc>
        <w:tc>
          <w:tcPr>
            <w:tcW w:w="4252" w:type="dxa"/>
          </w:tcPr>
          <w:p w14:paraId="0ACEAF47" w14:textId="77777777" w:rsidR="00B1677B" w:rsidRDefault="008D5E13" w:rsidP="008D5E13">
            <w:pPr>
              <w:rPr>
                <w:sz w:val="20"/>
              </w:rPr>
            </w:pPr>
            <w:r>
              <w:rPr>
                <w:sz w:val="20"/>
              </w:rPr>
              <w:t>There is no clear commitment in engaging with SVG’s RAT other than tickets. RAT requires active technical engagement to assess the security threat of the discussed vulnerability.</w:t>
            </w:r>
          </w:p>
        </w:tc>
      </w:tr>
    </w:tbl>
    <w:p w14:paraId="0D04B59B" w14:textId="77777777" w:rsidR="00207D16" w:rsidRDefault="00207D16" w:rsidP="008D5E13">
      <w:pPr>
        <w:pStyle w:val="Heading3"/>
        <w:numPr>
          <w:ilvl w:val="0"/>
          <w:numId w:val="0"/>
        </w:numPr>
        <w:rPr>
          <w:rFonts w:ascii="Times New Roman" w:hAnsi="Times New Roman"/>
          <w:b w:val="0"/>
          <w:bCs w:val="0"/>
          <w:sz w:val="22"/>
          <w:szCs w:val="20"/>
        </w:rPr>
      </w:pPr>
    </w:p>
    <w:p w14:paraId="08B7AF3D" w14:textId="77777777" w:rsidR="00844191" w:rsidRDefault="00844191" w:rsidP="00844191">
      <w:pPr>
        <w:pStyle w:val="Heading2"/>
        <w:rPr>
          <w:rFonts w:cs="Calibri"/>
        </w:rPr>
      </w:pPr>
      <w:bookmarkStart w:id="3" w:name="_Toc163108778"/>
      <w:r>
        <w:rPr>
          <w:rFonts w:cs="Calibri"/>
        </w:rPr>
        <w:t>Second review (up to and including 23 March 2011)</w:t>
      </w:r>
      <w:bookmarkEnd w:id="3"/>
    </w:p>
    <w:p w14:paraId="09CA65EB" w14:textId="77777777" w:rsidR="00844191" w:rsidRDefault="00844191" w:rsidP="00844191">
      <w:r>
        <w:t>The following table lists issues emerging from the EMI SLA draft v1.1</w:t>
      </w:r>
    </w:p>
    <w:tbl>
      <w:tblPr>
        <w:tblStyle w:val="TableGrid"/>
        <w:tblW w:w="0" w:type="auto"/>
        <w:tblLook w:val="04A0" w:firstRow="1" w:lastRow="0" w:firstColumn="1" w:lastColumn="0" w:noHBand="0" w:noVBand="1"/>
      </w:tblPr>
      <w:tblGrid>
        <w:gridCol w:w="657"/>
        <w:gridCol w:w="1269"/>
        <w:gridCol w:w="994"/>
        <w:gridCol w:w="2144"/>
        <w:gridCol w:w="4216"/>
      </w:tblGrid>
      <w:tr w:rsidR="00844191" w:rsidRPr="00F32DA5" w14:paraId="17CF986F" w14:textId="77777777" w:rsidTr="005C736B">
        <w:tc>
          <w:tcPr>
            <w:tcW w:w="657" w:type="dxa"/>
            <w:shd w:val="clear" w:color="auto" w:fill="C0C0C0"/>
          </w:tcPr>
          <w:p w14:paraId="34B4A909" w14:textId="77777777" w:rsidR="00844191" w:rsidRPr="00F32DA5" w:rsidRDefault="00844191" w:rsidP="00844191">
            <w:pPr>
              <w:rPr>
                <w:b/>
                <w:sz w:val="20"/>
              </w:rPr>
            </w:pPr>
            <w:r w:rsidRPr="00F32DA5">
              <w:rPr>
                <w:b/>
                <w:sz w:val="20"/>
              </w:rPr>
              <w:t>Issue</w:t>
            </w:r>
          </w:p>
        </w:tc>
        <w:tc>
          <w:tcPr>
            <w:tcW w:w="1269" w:type="dxa"/>
            <w:shd w:val="clear" w:color="auto" w:fill="C0C0C0"/>
          </w:tcPr>
          <w:p w14:paraId="11C58EBF" w14:textId="77777777" w:rsidR="00844191" w:rsidRPr="00F32DA5" w:rsidRDefault="00844191" w:rsidP="00844191">
            <w:pPr>
              <w:rPr>
                <w:b/>
                <w:sz w:val="20"/>
              </w:rPr>
            </w:pPr>
            <w:r w:rsidRPr="00F32DA5">
              <w:rPr>
                <w:b/>
                <w:sz w:val="20"/>
              </w:rPr>
              <w:t>Section(s)</w:t>
            </w:r>
          </w:p>
        </w:tc>
        <w:tc>
          <w:tcPr>
            <w:tcW w:w="994" w:type="dxa"/>
            <w:shd w:val="clear" w:color="auto" w:fill="C0C0C0"/>
          </w:tcPr>
          <w:p w14:paraId="6301EC02" w14:textId="77777777" w:rsidR="00844191" w:rsidRPr="00F32DA5" w:rsidRDefault="00844191" w:rsidP="00844191">
            <w:pPr>
              <w:rPr>
                <w:b/>
                <w:sz w:val="20"/>
              </w:rPr>
            </w:pPr>
            <w:r w:rsidRPr="00F32DA5">
              <w:rPr>
                <w:b/>
                <w:sz w:val="20"/>
              </w:rPr>
              <w:t>Status</w:t>
            </w:r>
          </w:p>
        </w:tc>
        <w:tc>
          <w:tcPr>
            <w:tcW w:w="2144" w:type="dxa"/>
            <w:shd w:val="clear" w:color="auto" w:fill="C0C0C0"/>
          </w:tcPr>
          <w:p w14:paraId="5BC7F286" w14:textId="77777777" w:rsidR="00844191" w:rsidRPr="00F32DA5" w:rsidRDefault="00844191" w:rsidP="00844191">
            <w:pPr>
              <w:rPr>
                <w:b/>
                <w:sz w:val="20"/>
              </w:rPr>
            </w:pPr>
            <w:r w:rsidRPr="00F32DA5">
              <w:rPr>
                <w:b/>
                <w:sz w:val="20"/>
              </w:rPr>
              <w:t>Name</w:t>
            </w:r>
          </w:p>
        </w:tc>
        <w:tc>
          <w:tcPr>
            <w:tcW w:w="4216" w:type="dxa"/>
            <w:shd w:val="clear" w:color="auto" w:fill="C0C0C0"/>
          </w:tcPr>
          <w:p w14:paraId="20AFEACE" w14:textId="77777777" w:rsidR="00844191" w:rsidRPr="00F32DA5" w:rsidRDefault="00844191" w:rsidP="00844191">
            <w:pPr>
              <w:rPr>
                <w:b/>
                <w:sz w:val="20"/>
              </w:rPr>
            </w:pPr>
            <w:r w:rsidRPr="00F32DA5">
              <w:rPr>
                <w:b/>
                <w:sz w:val="20"/>
              </w:rPr>
              <w:t>Description</w:t>
            </w:r>
          </w:p>
        </w:tc>
      </w:tr>
      <w:tr w:rsidR="00844191" w:rsidRPr="004117C5" w14:paraId="669ECC8D" w14:textId="77777777" w:rsidTr="005C736B">
        <w:tc>
          <w:tcPr>
            <w:tcW w:w="657" w:type="dxa"/>
          </w:tcPr>
          <w:p w14:paraId="1217ABA0" w14:textId="77777777" w:rsidR="00844191" w:rsidRPr="004117C5" w:rsidRDefault="00844191" w:rsidP="00844191">
            <w:pPr>
              <w:rPr>
                <w:sz w:val="20"/>
              </w:rPr>
            </w:pPr>
            <w:r w:rsidRPr="004117C5">
              <w:rPr>
                <w:sz w:val="20"/>
              </w:rPr>
              <w:t>1</w:t>
            </w:r>
          </w:p>
        </w:tc>
        <w:tc>
          <w:tcPr>
            <w:tcW w:w="1269" w:type="dxa"/>
          </w:tcPr>
          <w:p w14:paraId="311FCFAD" w14:textId="77777777" w:rsidR="00844191" w:rsidRPr="004117C5" w:rsidRDefault="00844191" w:rsidP="00844191">
            <w:pPr>
              <w:rPr>
                <w:sz w:val="20"/>
              </w:rPr>
            </w:pPr>
            <w:r w:rsidRPr="004117C5">
              <w:rPr>
                <w:sz w:val="20"/>
              </w:rPr>
              <w:t>2. &amp; 3.</w:t>
            </w:r>
          </w:p>
        </w:tc>
        <w:tc>
          <w:tcPr>
            <w:tcW w:w="994" w:type="dxa"/>
          </w:tcPr>
          <w:p w14:paraId="2C6EDC51" w14:textId="77777777" w:rsidR="00844191" w:rsidRPr="004117C5" w:rsidRDefault="00844191" w:rsidP="00844191">
            <w:pPr>
              <w:rPr>
                <w:sz w:val="20"/>
              </w:rPr>
            </w:pPr>
            <w:r w:rsidRPr="004117C5">
              <w:rPr>
                <w:sz w:val="20"/>
              </w:rPr>
              <w:t>OPEN</w:t>
            </w:r>
          </w:p>
        </w:tc>
        <w:tc>
          <w:tcPr>
            <w:tcW w:w="2144" w:type="dxa"/>
          </w:tcPr>
          <w:p w14:paraId="3406D94E" w14:textId="77777777" w:rsidR="00844191" w:rsidRPr="004117C5" w:rsidRDefault="00844191" w:rsidP="00844191">
            <w:pPr>
              <w:rPr>
                <w:sz w:val="20"/>
              </w:rPr>
            </w:pPr>
            <w:r w:rsidRPr="004117C5">
              <w:rPr>
                <w:sz w:val="20"/>
              </w:rPr>
              <w:t>&lt;Customer&gt; placeholder</w:t>
            </w:r>
          </w:p>
        </w:tc>
        <w:tc>
          <w:tcPr>
            <w:tcW w:w="4216" w:type="dxa"/>
          </w:tcPr>
          <w:p w14:paraId="05CB62ED" w14:textId="77777777" w:rsidR="00844191" w:rsidRPr="004117C5" w:rsidRDefault="00844191" w:rsidP="00844191">
            <w:pPr>
              <w:rPr>
                <w:sz w:val="20"/>
              </w:rPr>
            </w:pPr>
            <w:r w:rsidRPr="004117C5">
              <w:rPr>
                <w:sz w:val="20"/>
              </w:rPr>
              <w:t>Placeholder should be replaced with “EGI”.</w:t>
            </w:r>
          </w:p>
        </w:tc>
      </w:tr>
      <w:tr w:rsidR="00844191" w:rsidRPr="00AE6ED9" w14:paraId="112645A9" w14:textId="77777777" w:rsidTr="005C736B">
        <w:tc>
          <w:tcPr>
            <w:tcW w:w="657" w:type="dxa"/>
          </w:tcPr>
          <w:p w14:paraId="751A2EBC" w14:textId="77777777" w:rsidR="00844191" w:rsidRPr="004117C5" w:rsidRDefault="00844191" w:rsidP="00844191">
            <w:pPr>
              <w:rPr>
                <w:sz w:val="20"/>
              </w:rPr>
            </w:pPr>
            <w:r w:rsidRPr="004117C5">
              <w:rPr>
                <w:sz w:val="20"/>
              </w:rPr>
              <w:t>2</w:t>
            </w:r>
          </w:p>
        </w:tc>
        <w:tc>
          <w:tcPr>
            <w:tcW w:w="1269" w:type="dxa"/>
          </w:tcPr>
          <w:p w14:paraId="087FE99F" w14:textId="77777777" w:rsidR="00844191" w:rsidRPr="004117C5" w:rsidRDefault="00844191" w:rsidP="00844191">
            <w:pPr>
              <w:rPr>
                <w:sz w:val="20"/>
              </w:rPr>
            </w:pPr>
            <w:r w:rsidRPr="004117C5">
              <w:rPr>
                <w:sz w:val="20"/>
              </w:rPr>
              <w:t xml:space="preserve">2. &amp; 3. </w:t>
            </w:r>
          </w:p>
        </w:tc>
        <w:tc>
          <w:tcPr>
            <w:tcW w:w="994" w:type="dxa"/>
          </w:tcPr>
          <w:p w14:paraId="2E322E0A" w14:textId="77777777" w:rsidR="00844191" w:rsidRPr="004117C5" w:rsidRDefault="00844191" w:rsidP="00844191">
            <w:pPr>
              <w:rPr>
                <w:sz w:val="20"/>
              </w:rPr>
            </w:pPr>
            <w:r w:rsidRPr="004117C5">
              <w:rPr>
                <w:sz w:val="20"/>
              </w:rPr>
              <w:t>OPEN</w:t>
            </w:r>
          </w:p>
        </w:tc>
        <w:tc>
          <w:tcPr>
            <w:tcW w:w="2144" w:type="dxa"/>
          </w:tcPr>
          <w:p w14:paraId="561CEEBA" w14:textId="77777777" w:rsidR="00844191" w:rsidRPr="004117C5" w:rsidRDefault="00844191" w:rsidP="00844191">
            <w:pPr>
              <w:rPr>
                <w:sz w:val="20"/>
              </w:rPr>
            </w:pPr>
            <w:r w:rsidRPr="004117C5">
              <w:rPr>
                <w:sz w:val="20"/>
              </w:rPr>
              <w:t>&lt;Customer product or service&gt; placeholder</w:t>
            </w:r>
          </w:p>
        </w:tc>
        <w:tc>
          <w:tcPr>
            <w:tcW w:w="4216" w:type="dxa"/>
          </w:tcPr>
          <w:p w14:paraId="2EFF3F25" w14:textId="77777777" w:rsidR="00844191" w:rsidRPr="004117C5" w:rsidRDefault="00844191" w:rsidP="00844191">
            <w:pPr>
              <w:rPr>
                <w:sz w:val="20"/>
              </w:rPr>
            </w:pPr>
            <w:r w:rsidRPr="004117C5">
              <w:rPr>
                <w:sz w:val="20"/>
              </w:rPr>
              <w:t>Placeholder should be replaced with “EGI Production infrastructure.</w:t>
            </w:r>
          </w:p>
        </w:tc>
      </w:tr>
      <w:tr w:rsidR="00844191" w:rsidRPr="00AE6ED9" w14:paraId="0CDC51E0" w14:textId="77777777" w:rsidTr="005C736B">
        <w:tc>
          <w:tcPr>
            <w:tcW w:w="657" w:type="dxa"/>
          </w:tcPr>
          <w:p w14:paraId="044B285C" w14:textId="77777777" w:rsidR="00844191" w:rsidRPr="00AE6ED9" w:rsidRDefault="00844191" w:rsidP="00844191">
            <w:pPr>
              <w:rPr>
                <w:sz w:val="20"/>
              </w:rPr>
            </w:pPr>
            <w:r>
              <w:rPr>
                <w:sz w:val="20"/>
              </w:rPr>
              <w:t>3</w:t>
            </w:r>
          </w:p>
        </w:tc>
        <w:tc>
          <w:tcPr>
            <w:tcW w:w="1269" w:type="dxa"/>
          </w:tcPr>
          <w:p w14:paraId="5257FB3B" w14:textId="77777777" w:rsidR="00844191" w:rsidRPr="00AE6ED9" w:rsidRDefault="00844191" w:rsidP="00844191">
            <w:pPr>
              <w:rPr>
                <w:sz w:val="20"/>
              </w:rPr>
            </w:pPr>
            <w:r>
              <w:rPr>
                <w:sz w:val="20"/>
              </w:rPr>
              <w:t>4.</w:t>
            </w:r>
          </w:p>
        </w:tc>
        <w:tc>
          <w:tcPr>
            <w:tcW w:w="994" w:type="dxa"/>
          </w:tcPr>
          <w:p w14:paraId="144DEDEA" w14:textId="77777777" w:rsidR="00844191" w:rsidRPr="00AE6ED9" w:rsidRDefault="00844191" w:rsidP="00844191">
            <w:pPr>
              <w:rPr>
                <w:sz w:val="20"/>
              </w:rPr>
            </w:pPr>
            <w:r>
              <w:rPr>
                <w:sz w:val="20"/>
              </w:rPr>
              <w:t>OPEN</w:t>
            </w:r>
          </w:p>
        </w:tc>
        <w:tc>
          <w:tcPr>
            <w:tcW w:w="2144" w:type="dxa"/>
          </w:tcPr>
          <w:p w14:paraId="0CACD791" w14:textId="77777777" w:rsidR="00844191" w:rsidRPr="00AE6ED9" w:rsidRDefault="00844191" w:rsidP="00844191">
            <w:pPr>
              <w:rPr>
                <w:sz w:val="20"/>
              </w:rPr>
            </w:pPr>
            <w:r>
              <w:rPr>
                <w:sz w:val="20"/>
              </w:rPr>
              <w:t>EMI SLA Manager</w:t>
            </w:r>
          </w:p>
        </w:tc>
        <w:tc>
          <w:tcPr>
            <w:tcW w:w="4216" w:type="dxa"/>
          </w:tcPr>
          <w:p w14:paraId="5DD699EF" w14:textId="77777777" w:rsidR="00844191" w:rsidRPr="00AE6ED9" w:rsidRDefault="00844191" w:rsidP="00844191">
            <w:pPr>
              <w:rPr>
                <w:sz w:val="20"/>
              </w:rPr>
            </w:pPr>
            <w:r>
              <w:rPr>
                <w:sz w:val="20"/>
              </w:rPr>
              <w:t>Should be a named contact (see EMI draft section 11)</w:t>
            </w:r>
          </w:p>
        </w:tc>
      </w:tr>
      <w:tr w:rsidR="00844191" w:rsidRPr="00AE6ED9" w14:paraId="4113C561" w14:textId="77777777" w:rsidTr="005C736B">
        <w:tc>
          <w:tcPr>
            <w:tcW w:w="657" w:type="dxa"/>
          </w:tcPr>
          <w:p w14:paraId="7B3DAF00" w14:textId="77777777" w:rsidR="00844191" w:rsidRPr="00AE6ED9" w:rsidRDefault="00844191" w:rsidP="00844191">
            <w:pPr>
              <w:rPr>
                <w:sz w:val="20"/>
              </w:rPr>
            </w:pPr>
            <w:r>
              <w:rPr>
                <w:sz w:val="20"/>
              </w:rPr>
              <w:t>4</w:t>
            </w:r>
          </w:p>
        </w:tc>
        <w:tc>
          <w:tcPr>
            <w:tcW w:w="1269" w:type="dxa"/>
          </w:tcPr>
          <w:p w14:paraId="086F8EC9" w14:textId="77777777" w:rsidR="00844191" w:rsidRPr="00AE6ED9" w:rsidRDefault="00844191" w:rsidP="00844191">
            <w:pPr>
              <w:rPr>
                <w:sz w:val="20"/>
              </w:rPr>
            </w:pPr>
            <w:r>
              <w:rPr>
                <w:sz w:val="20"/>
              </w:rPr>
              <w:t>5.1, 5.4</w:t>
            </w:r>
          </w:p>
        </w:tc>
        <w:tc>
          <w:tcPr>
            <w:tcW w:w="994" w:type="dxa"/>
          </w:tcPr>
          <w:p w14:paraId="3AC56B31" w14:textId="77777777" w:rsidR="00844191" w:rsidRPr="00AE6ED9" w:rsidRDefault="00844191" w:rsidP="00844191">
            <w:pPr>
              <w:rPr>
                <w:sz w:val="20"/>
              </w:rPr>
            </w:pPr>
            <w:r>
              <w:rPr>
                <w:sz w:val="20"/>
              </w:rPr>
              <w:t>OPEN</w:t>
            </w:r>
          </w:p>
        </w:tc>
        <w:tc>
          <w:tcPr>
            <w:tcW w:w="2144" w:type="dxa"/>
          </w:tcPr>
          <w:p w14:paraId="42AE1D27" w14:textId="77777777" w:rsidR="00844191" w:rsidRPr="00AE6ED9" w:rsidRDefault="00844191" w:rsidP="00844191">
            <w:pPr>
              <w:rPr>
                <w:sz w:val="20"/>
              </w:rPr>
            </w:pPr>
            <w:r>
              <w:rPr>
                <w:sz w:val="20"/>
              </w:rPr>
              <w:t>EMI Support Plan not found</w:t>
            </w:r>
          </w:p>
        </w:tc>
        <w:tc>
          <w:tcPr>
            <w:tcW w:w="4216" w:type="dxa"/>
          </w:tcPr>
          <w:p w14:paraId="2CA13FA7" w14:textId="77777777" w:rsidR="00844191" w:rsidRPr="00AE6ED9" w:rsidRDefault="00844191" w:rsidP="00844191">
            <w:pPr>
              <w:rPr>
                <w:sz w:val="20"/>
              </w:rPr>
            </w:pPr>
            <w:r>
              <w:rPr>
                <w:sz w:val="20"/>
              </w:rPr>
              <w:t>The referenced EMI Support Plan cannot be found on the EMI web. Without this, a final review and acceptance is not possible.</w:t>
            </w:r>
          </w:p>
        </w:tc>
      </w:tr>
      <w:tr w:rsidR="00844191" w:rsidRPr="00AE6ED9" w14:paraId="452B83CD" w14:textId="77777777" w:rsidTr="005C736B">
        <w:tc>
          <w:tcPr>
            <w:tcW w:w="657" w:type="dxa"/>
          </w:tcPr>
          <w:p w14:paraId="2E8800AB" w14:textId="77777777" w:rsidR="00844191" w:rsidRPr="00AE6ED9" w:rsidRDefault="00844191" w:rsidP="00844191">
            <w:pPr>
              <w:rPr>
                <w:sz w:val="20"/>
              </w:rPr>
            </w:pPr>
            <w:r>
              <w:rPr>
                <w:sz w:val="20"/>
              </w:rPr>
              <w:t>5</w:t>
            </w:r>
          </w:p>
        </w:tc>
        <w:tc>
          <w:tcPr>
            <w:tcW w:w="1269" w:type="dxa"/>
          </w:tcPr>
          <w:p w14:paraId="328E5F36" w14:textId="77777777" w:rsidR="00844191" w:rsidRPr="00AE6ED9" w:rsidRDefault="00844191" w:rsidP="00844191">
            <w:pPr>
              <w:rPr>
                <w:sz w:val="20"/>
              </w:rPr>
            </w:pPr>
            <w:r>
              <w:rPr>
                <w:sz w:val="20"/>
              </w:rPr>
              <w:t>5.2.1</w:t>
            </w:r>
          </w:p>
        </w:tc>
        <w:tc>
          <w:tcPr>
            <w:tcW w:w="994" w:type="dxa"/>
          </w:tcPr>
          <w:p w14:paraId="1AE77236" w14:textId="77777777" w:rsidR="00844191" w:rsidRPr="00AE6ED9" w:rsidRDefault="00844191" w:rsidP="00844191">
            <w:pPr>
              <w:rPr>
                <w:sz w:val="20"/>
              </w:rPr>
            </w:pPr>
            <w:r>
              <w:rPr>
                <w:sz w:val="20"/>
              </w:rPr>
              <w:t>OPEN</w:t>
            </w:r>
          </w:p>
        </w:tc>
        <w:tc>
          <w:tcPr>
            <w:tcW w:w="2144" w:type="dxa"/>
          </w:tcPr>
          <w:p w14:paraId="3C15420E" w14:textId="77777777" w:rsidR="00844191" w:rsidRPr="00AE6ED9" w:rsidRDefault="00844191" w:rsidP="00844191">
            <w:pPr>
              <w:rPr>
                <w:sz w:val="20"/>
              </w:rPr>
            </w:pPr>
            <w:r>
              <w:rPr>
                <w:sz w:val="20"/>
              </w:rPr>
              <w:t>Fully trained staff</w:t>
            </w:r>
          </w:p>
        </w:tc>
        <w:tc>
          <w:tcPr>
            <w:tcW w:w="4216" w:type="dxa"/>
          </w:tcPr>
          <w:p w14:paraId="1693F505" w14:textId="77777777" w:rsidR="00844191" w:rsidRPr="00AE6ED9" w:rsidRDefault="00844191" w:rsidP="00844191">
            <w:pPr>
              <w:rPr>
                <w:sz w:val="20"/>
              </w:rPr>
            </w:pPr>
            <w:r>
              <w:rPr>
                <w:sz w:val="20"/>
              </w:rPr>
              <w:t>Definition of “fully trained”? Does EMI offer certification and training to satisfy this requirement?</w:t>
            </w:r>
          </w:p>
        </w:tc>
      </w:tr>
      <w:tr w:rsidR="00844191" w:rsidRPr="00AE6ED9" w14:paraId="704CB38A" w14:textId="77777777" w:rsidTr="005C736B">
        <w:tc>
          <w:tcPr>
            <w:tcW w:w="657" w:type="dxa"/>
          </w:tcPr>
          <w:p w14:paraId="316C3826" w14:textId="77777777" w:rsidR="00844191" w:rsidRPr="00AE6ED9" w:rsidRDefault="00844191" w:rsidP="00844191">
            <w:pPr>
              <w:rPr>
                <w:sz w:val="20"/>
              </w:rPr>
            </w:pPr>
            <w:r>
              <w:rPr>
                <w:sz w:val="20"/>
              </w:rPr>
              <w:t>6</w:t>
            </w:r>
          </w:p>
        </w:tc>
        <w:tc>
          <w:tcPr>
            <w:tcW w:w="1269" w:type="dxa"/>
          </w:tcPr>
          <w:p w14:paraId="1FB2DA21" w14:textId="77777777" w:rsidR="00844191" w:rsidRPr="00AE6ED9" w:rsidRDefault="00844191" w:rsidP="00844191">
            <w:pPr>
              <w:rPr>
                <w:sz w:val="20"/>
              </w:rPr>
            </w:pPr>
            <w:r>
              <w:rPr>
                <w:sz w:val="20"/>
              </w:rPr>
              <w:t>5.2.3</w:t>
            </w:r>
          </w:p>
        </w:tc>
        <w:tc>
          <w:tcPr>
            <w:tcW w:w="994" w:type="dxa"/>
          </w:tcPr>
          <w:p w14:paraId="2B66F30A" w14:textId="77777777" w:rsidR="00844191" w:rsidRPr="00AE6ED9" w:rsidRDefault="00844191" w:rsidP="00844191">
            <w:pPr>
              <w:rPr>
                <w:sz w:val="20"/>
              </w:rPr>
            </w:pPr>
            <w:r>
              <w:rPr>
                <w:sz w:val="20"/>
              </w:rPr>
              <w:t>CLOSED</w:t>
            </w:r>
          </w:p>
        </w:tc>
        <w:tc>
          <w:tcPr>
            <w:tcW w:w="2144" w:type="dxa"/>
          </w:tcPr>
          <w:p w14:paraId="27869250" w14:textId="77777777" w:rsidR="00844191" w:rsidRPr="00AE6ED9" w:rsidRDefault="00844191" w:rsidP="00844191">
            <w:pPr>
              <w:rPr>
                <w:sz w:val="20"/>
              </w:rPr>
            </w:pPr>
            <w:r>
              <w:rPr>
                <w:sz w:val="20"/>
              </w:rPr>
              <w:t>Network access</w:t>
            </w:r>
          </w:p>
        </w:tc>
        <w:tc>
          <w:tcPr>
            <w:tcW w:w="4216" w:type="dxa"/>
          </w:tcPr>
          <w:p w14:paraId="70A7CC12" w14:textId="77777777" w:rsidR="00844191" w:rsidRPr="00AE6ED9" w:rsidRDefault="00844191" w:rsidP="00844191">
            <w:pPr>
              <w:rPr>
                <w:sz w:val="20"/>
              </w:rPr>
            </w:pPr>
            <w:r>
              <w:rPr>
                <w:sz w:val="20"/>
              </w:rPr>
              <w:t>This section is in compliance with EGI policies.</w:t>
            </w:r>
          </w:p>
        </w:tc>
      </w:tr>
      <w:tr w:rsidR="00844191" w:rsidRPr="00AE6ED9" w14:paraId="5C37F81A" w14:textId="77777777" w:rsidTr="005C736B">
        <w:tc>
          <w:tcPr>
            <w:tcW w:w="657" w:type="dxa"/>
          </w:tcPr>
          <w:p w14:paraId="4990AFA4" w14:textId="77777777" w:rsidR="00844191" w:rsidRPr="00AE6ED9" w:rsidRDefault="00844191" w:rsidP="00844191">
            <w:pPr>
              <w:rPr>
                <w:sz w:val="20"/>
              </w:rPr>
            </w:pPr>
            <w:r>
              <w:rPr>
                <w:sz w:val="20"/>
              </w:rPr>
              <w:t>7</w:t>
            </w:r>
          </w:p>
        </w:tc>
        <w:tc>
          <w:tcPr>
            <w:tcW w:w="1269" w:type="dxa"/>
          </w:tcPr>
          <w:p w14:paraId="4EAEFFD1" w14:textId="77777777" w:rsidR="00844191" w:rsidRPr="00AE6ED9" w:rsidRDefault="00844191" w:rsidP="00844191">
            <w:pPr>
              <w:rPr>
                <w:sz w:val="20"/>
              </w:rPr>
            </w:pPr>
            <w:r>
              <w:rPr>
                <w:sz w:val="20"/>
              </w:rPr>
              <w:t>5.2.6 (a), (b)</w:t>
            </w:r>
          </w:p>
        </w:tc>
        <w:tc>
          <w:tcPr>
            <w:tcW w:w="994" w:type="dxa"/>
          </w:tcPr>
          <w:p w14:paraId="2A98DB94" w14:textId="77777777" w:rsidR="00844191" w:rsidRPr="00AE6ED9" w:rsidRDefault="00844191" w:rsidP="00844191">
            <w:pPr>
              <w:rPr>
                <w:sz w:val="20"/>
              </w:rPr>
            </w:pPr>
            <w:r>
              <w:rPr>
                <w:sz w:val="20"/>
              </w:rPr>
              <w:t>OPEN</w:t>
            </w:r>
          </w:p>
        </w:tc>
        <w:tc>
          <w:tcPr>
            <w:tcW w:w="2144" w:type="dxa"/>
          </w:tcPr>
          <w:p w14:paraId="452C90C3" w14:textId="77777777" w:rsidR="00844191" w:rsidRPr="00AE6ED9" w:rsidRDefault="00844191" w:rsidP="00844191">
            <w:pPr>
              <w:rPr>
                <w:sz w:val="20"/>
              </w:rPr>
            </w:pPr>
            <w:r>
              <w:rPr>
                <w:sz w:val="20"/>
              </w:rPr>
              <w:t>Update notification</w:t>
            </w:r>
          </w:p>
        </w:tc>
        <w:tc>
          <w:tcPr>
            <w:tcW w:w="4216" w:type="dxa"/>
          </w:tcPr>
          <w:p w14:paraId="59BA5411" w14:textId="77777777" w:rsidR="00844191" w:rsidRPr="00AE6ED9" w:rsidRDefault="00844191" w:rsidP="00844191">
            <w:pPr>
              <w:rPr>
                <w:sz w:val="20"/>
              </w:rPr>
            </w:pPr>
            <w:r>
              <w:rPr>
                <w:sz w:val="20"/>
              </w:rPr>
              <w:t>There is no explicit mechanism defined in the SLA as to how the notification of available updates takes place. EGI wishes to explicitly include the GGUS ticket based notification mechanism in the SLA.</w:t>
            </w:r>
          </w:p>
        </w:tc>
      </w:tr>
      <w:tr w:rsidR="00844191" w:rsidRPr="00AE6ED9" w14:paraId="42BD3FAD" w14:textId="77777777" w:rsidTr="005C736B">
        <w:tc>
          <w:tcPr>
            <w:tcW w:w="657" w:type="dxa"/>
          </w:tcPr>
          <w:p w14:paraId="6A35D4CF" w14:textId="77777777" w:rsidR="00844191" w:rsidRDefault="00844191" w:rsidP="00844191">
            <w:pPr>
              <w:rPr>
                <w:sz w:val="20"/>
              </w:rPr>
            </w:pPr>
            <w:r>
              <w:rPr>
                <w:sz w:val="20"/>
              </w:rPr>
              <w:t>8</w:t>
            </w:r>
          </w:p>
        </w:tc>
        <w:tc>
          <w:tcPr>
            <w:tcW w:w="1269" w:type="dxa"/>
          </w:tcPr>
          <w:p w14:paraId="2E320176" w14:textId="77777777" w:rsidR="00844191" w:rsidRDefault="00844191" w:rsidP="00844191">
            <w:pPr>
              <w:rPr>
                <w:sz w:val="20"/>
              </w:rPr>
            </w:pPr>
            <w:r>
              <w:rPr>
                <w:sz w:val="20"/>
              </w:rPr>
              <w:t>5.2.6</w:t>
            </w:r>
          </w:p>
        </w:tc>
        <w:tc>
          <w:tcPr>
            <w:tcW w:w="994" w:type="dxa"/>
          </w:tcPr>
          <w:p w14:paraId="4F6ED3CC" w14:textId="77777777" w:rsidR="00844191" w:rsidRDefault="00844191" w:rsidP="00844191">
            <w:pPr>
              <w:rPr>
                <w:sz w:val="20"/>
              </w:rPr>
            </w:pPr>
            <w:r>
              <w:rPr>
                <w:sz w:val="20"/>
              </w:rPr>
              <w:t>OPEN</w:t>
            </w:r>
          </w:p>
        </w:tc>
        <w:tc>
          <w:tcPr>
            <w:tcW w:w="2144" w:type="dxa"/>
          </w:tcPr>
          <w:p w14:paraId="69C02155" w14:textId="77777777" w:rsidR="00844191" w:rsidRDefault="00844191" w:rsidP="00324631">
            <w:pPr>
              <w:rPr>
                <w:sz w:val="20"/>
              </w:rPr>
            </w:pPr>
            <w:r>
              <w:rPr>
                <w:sz w:val="20"/>
              </w:rPr>
              <w:t xml:space="preserve">Definition of </w:t>
            </w:r>
            <w:r w:rsidR="00324631">
              <w:rPr>
                <w:sz w:val="20"/>
              </w:rPr>
              <w:t>terms</w:t>
            </w:r>
          </w:p>
        </w:tc>
        <w:tc>
          <w:tcPr>
            <w:tcW w:w="4216" w:type="dxa"/>
          </w:tcPr>
          <w:p w14:paraId="0ACBAD1F" w14:textId="77777777" w:rsidR="00844191" w:rsidRDefault="00844191" w:rsidP="00844191">
            <w:pPr>
              <w:rPr>
                <w:sz w:val="20"/>
              </w:rPr>
            </w:pPr>
            <w:r>
              <w:rPr>
                <w:sz w:val="20"/>
              </w:rPr>
              <w:t>What is EMI’s exact definition of “regularly”</w:t>
            </w:r>
            <w:r w:rsidR="00324631">
              <w:rPr>
                <w:sz w:val="20"/>
              </w:rPr>
              <w:t>, and “timely”</w:t>
            </w:r>
            <w:r>
              <w:rPr>
                <w:sz w:val="20"/>
              </w:rPr>
              <w:t>?</w:t>
            </w:r>
          </w:p>
        </w:tc>
      </w:tr>
      <w:tr w:rsidR="00844191" w:rsidRPr="00AE6ED9" w14:paraId="4C4760A2" w14:textId="77777777" w:rsidTr="005C736B">
        <w:tc>
          <w:tcPr>
            <w:tcW w:w="657" w:type="dxa"/>
          </w:tcPr>
          <w:p w14:paraId="71409946" w14:textId="77777777" w:rsidR="00844191" w:rsidRDefault="00844191" w:rsidP="00844191">
            <w:pPr>
              <w:rPr>
                <w:sz w:val="20"/>
              </w:rPr>
            </w:pPr>
            <w:r>
              <w:rPr>
                <w:sz w:val="20"/>
              </w:rPr>
              <w:t>9</w:t>
            </w:r>
          </w:p>
        </w:tc>
        <w:tc>
          <w:tcPr>
            <w:tcW w:w="1269" w:type="dxa"/>
          </w:tcPr>
          <w:p w14:paraId="564512EE" w14:textId="77777777" w:rsidR="00844191" w:rsidRDefault="00844191" w:rsidP="00844191">
            <w:pPr>
              <w:rPr>
                <w:sz w:val="20"/>
              </w:rPr>
            </w:pPr>
            <w:r>
              <w:rPr>
                <w:sz w:val="20"/>
              </w:rPr>
              <w:t>5.2.6 (c)</w:t>
            </w:r>
          </w:p>
        </w:tc>
        <w:tc>
          <w:tcPr>
            <w:tcW w:w="994" w:type="dxa"/>
          </w:tcPr>
          <w:p w14:paraId="32F42215" w14:textId="77777777" w:rsidR="00844191" w:rsidRDefault="00844191" w:rsidP="00844191">
            <w:pPr>
              <w:rPr>
                <w:sz w:val="20"/>
              </w:rPr>
            </w:pPr>
            <w:r>
              <w:rPr>
                <w:sz w:val="20"/>
              </w:rPr>
              <w:t>OPEN</w:t>
            </w:r>
          </w:p>
        </w:tc>
        <w:tc>
          <w:tcPr>
            <w:tcW w:w="2144" w:type="dxa"/>
          </w:tcPr>
          <w:p w14:paraId="5ACC4F80" w14:textId="77777777" w:rsidR="00844191" w:rsidRDefault="00844191" w:rsidP="00844191">
            <w:pPr>
              <w:rPr>
                <w:sz w:val="20"/>
              </w:rPr>
            </w:pPr>
            <w:r>
              <w:rPr>
                <w:sz w:val="20"/>
              </w:rPr>
              <w:t>Recommended configuration parameters</w:t>
            </w:r>
          </w:p>
        </w:tc>
        <w:tc>
          <w:tcPr>
            <w:tcW w:w="4216" w:type="dxa"/>
          </w:tcPr>
          <w:p w14:paraId="6B12D377" w14:textId="77777777" w:rsidR="00844191" w:rsidRDefault="00844191" w:rsidP="00844191">
            <w:pPr>
              <w:rPr>
                <w:sz w:val="20"/>
              </w:rPr>
            </w:pPr>
            <w:r>
              <w:rPr>
                <w:sz w:val="20"/>
              </w:rPr>
              <w:t>Does this cover Best Practice documents that are currently prepared under the lead of the DMSU?</w:t>
            </w:r>
          </w:p>
        </w:tc>
      </w:tr>
      <w:tr w:rsidR="00844191" w:rsidRPr="00AE6ED9" w14:paraId="61FC090A" w14:textId="77777777" w:rsidTr="005C736B">
        <w:tc>
          <w:tcPr>
            <w:tcW w:w="657" w:type="dxa"/>
          </w:tcPr>
          <w:p w14:paraId="69530FF9" w14:textId="77777777" w:rsidR="00844191" w:rsidRDefault="00844191" w:rsidP="00844191">
            <w:pPr>
              <w:rPr>
                <w:sz w:val="20"/>
              </w:rPr>
            </w:pPr>
            <w:r>
              <w:rPr>
                <w:sz w:val="20"/>
              </w:rPr>
              <w:t>10</w:t>
            </w:r>
          </w:p>
        </w:tc>
        <w:tc>
          <w:tcPr>
            <w:tcW w:w="1269" w:type="dxa"/>
          </w:tcPr>
          <w:p w14:paraId="3298BD97" w14:textId="77777777" w:rsidR="00844191" w:rsidRDefault="00844191" w:rsidP="00844191">
            <w:pPr>
              <w:rPr>
                <w:sz w:val="20"/>
              </w:rPr>
            </w:pPr>
            <w:r>
              <w:rPr>
                <w:sz w:val="20"/>
              </w:rPr>
              <w:t>5.3.4</w:t>
            </w:r>
          </w:p>
        </w:tc>
        <w:tc>
          <w:tcPr>
            <w:tcW w:w="994" w:type="dxa"/>
          </w:tcPr>
          <w:p w14:paraId="28AE268B" w14:textId="77777777" w:rsidR="00844191" w:rsidRDefault="00844191" w:rsidP="00844191">
            <w:pPr>
              <w:rPr>
                <w:sz w:val="20"/>
              </w:rPr>
            </w:pPr>
            <w:r>
              <w:rPr>
                <w:sz w:val="20"/>
              </w:rPr>
              <w:t>OPEN</w:t>
            </w:r>
          </w:p>
        </w:tc>
        <w:tc>
          <w:tcPr>
            <w:tcW w:w="2144" w:type="dxa"/>
          </w:tcPr>
          <w:p w14:paraId="3C09706C" w14:textId="77777777" w:rsidR="00844191" w:rsidRDefault="00844191" w:rsidP="00844191">
            <w:pPr>
              <w:rPr>
                <w:sz w:val="20"/>
              </w:rPr>
            </w:pPr>
            <w:r>
              <w:rPr>
                <w:sz w:val="20"/>
              </w:rPr>
              <w:t>Service exclusions</w:t>
            </w:r>
          </w:p>
        </w:tc>
        <w:tc>
          <w:tcPr>
            <w:tcW w:w="4216" w:type="dxa"/>
          </w:tcPr>
          <w:p w14:paraId="512AB57A" w14:textId="77777777" w:rsidR="00844191" w:rsidRDefault="00844191" w:rsidP="00844191">
            <w:pPr>
              <w:rPr>
                <w:sz w:val="20"/>
              </w:rPr>
            </w:pPr>
            <w:r>
              <w:rPr>
                <w:sz w:val="20"/>
              </w:rPr>
              <w:t>What has changed compared to “before”? I (Michel) have no idea on what has happened before, so I need input and guidance for the negotiation!</w:t>
            </w:r>
          </w:p>
          <w:p w14:paraId="6E80E5C8" w14:textId="77777777" w:rsidR="00844191" w:rsidRDefault="00844191" w:rsidP="00844191">
            <w:pPr>
              <w:rPr>
                <w:sz w:val="20"/>
              </w:rPr>
            </w:pPr>
            <w:r w:rsidRPr="005727B8">
              <w:rPr>
                <w:sz w:val="20"/>
              </w:rPr>
              <w:sym w:font="Wingdings" w:char="F0E0"/>
            </w:r>
            <w:r>
              <w:rPr>
                <w:sz w:val="20"/>
              </w:rPr>
              <w:t xml:space="preserve"> Steven, </w:t>
            </w:r>
            <w:proofErr w:type="spellStart"/>
            <w:r>
              <w:rPr>
                <w:sz w:val="20"/>
              </w:rPr>
              <w:t>Tiziana</w:t>
            </w:r>
            <w:proofErr w:type="spellEnd"/>
            <w:r>
              <w:rPr>
                <w:sz w:val="20"/>
              </w:rPr>
              <w:t xml:space="preserve"> </w:t>
            </w:r>
          </w:p>
        </w:tc>
      </w:tr>
      <w:tr w:rsidR="00844191" w:rsidRPr="00AE6ED9" w14:paraId="61A75DFC" w14:textId="77777777" w:rsidTr="005C736B">
        <w:tc>
          <w:tcPr>
            <w:tcW w:w="657" w:type="dxa"/>
          </w:tcPr>
          <w:p w14:paraId="1CF3A751" w14:textId="77777777" w:rsidR="00844191" w:rsidRDefault="00844191" w:rsidP="00844191">
            <w:pPr>
              <w:rPr>
                <w:sz w:val="20"/>
              </w:rPr>
            </w:pPr>
            <w:r>
              <w:rPr>
                <w:sz w:val="20"/>
              </w:rPr>
              <w:t>11</w:t>
            </w:r>
          </w:p>
        </w:tc>
        <w:tc>
          <w:tcPr>
            <w:tcW w:w="1269" w:type="dxa"/>
          </w:tcPr>
          <w:p w14:paraId="4A668A5E" w14:textId="77777777" w:rsidR="00844191" w:rsidRDefault="00844191" w:rsidP="00844191">
            <w:pPr>
              <w:rPr>
                <w:sz w:val="20"/>
              </w:rPr>
            </w:pPr>
            <w:r>
              <w:rPr>
                <w:sz w:val="20"/>
              </w:rPr>
              <w:t>5.3.4 (e)</w:t>
            </w:r>
          </w:p>
        </w:tc>
        <w:tc>
          <w:tcPr>
            <w:tcW w:w="994" w:type="dxa"/>
          </w:tcPr>
          <w:p w14:paraId="5AD71DFA" w14:textId="77777777" w:rsidR="00844191" w:rsidRDefault="00844191" w:rsidP="00844191">
            <w:pPr>
              <w:rPr>
                <w:sz w:val="20"/>
              </w:rPr>
            </w:pPr>
            <w:r>
              <w:rPr>
                <w:sz w:val="20"/>
              </w:rPr>
              <w:t>OPEN</w:t>
            </w:r>
          </w:p>
        </w:tc>
        <w:tc>
          <w:tcPr>
            <w:tcW w:w="2144" w:type="dxa"/>
          </w:tcPr>
          <w:p w14:paraId="09A5D3E5" w14:textId="77777777" w:rsidR="00844191" w:rsidRDefault="00844191" w:rsidP="00844191">
            <w:pPr>
              <w:rPr>
                <w:sz w:val="20"/>
              </w:rPr>
            </w:pPr>
            <w:r>
              <w:rPr>
                <w:sz w:val="20"/>
              </w:rPr>
              <w:t>Definition of “approved distribution channel”</w:t>
            </w:r>
          </w:p>
        </w:tc>
        <w:tc>
          <w:tcPr>
            <w:tcW w:w="4216" w:type="dxa"/>
          </w:tcPr>
          <w:p w14:paraId="39BEA406" w14:textId="77777777" w:rsidR="00844191" w:rsidRDefault="00844191" w:rsidP="00844191">
            <w:pPr>
              <w:rPr>
                <w:sz w:val="20"/>
              </w:rPr>
            </w:pPr>
            <w:r>
              <w:rPr>
                <w:sz w:val="20"/>
              </w:rPr>
              <w:t>What exactly is an approved software distribution channel? What are the criteria and approval procedure?</w:t>
            </w:r>
          </w:p>
        </w:tc>
      </w:tr>
      <w:tr w:rsidR="00844191" w:rsidRPr="00AE6ED9" w14:paraId="4467C1AF" w14:textId="77777777" w:rsidTr="005C736B">
        <w:tc>
          <w:tcPr>
            <w:tcW w:w="657" w:type="dxa"/>
          </w:tcPr>
          <w:p w14:paraId="6CCD6449" w14:textId="77777777" w:rsidR="00844191" w:rsidRDefault="00844191" w:rsidP="00844191">
            <w:pPr>
              <w:rPr>
                <w:sz w:val="20"/>
              </w:rPr>
            </w:pPr>
            <w:r>
              <w:rPr>
                <w:sz w:val="20"/>
              </w:rPr>
              <w:t>12</w:t>
            </w:r>
          </w:p>
        </w:tc>
        <w:tc>
          <w:tcPr>
            <w:tcW w:w="1269" w:type="dxa"/>
          </w:tcPr>
          <w:p w14:paraId="1E8D3943" w14:textId="77777777" w:rsidR="00844191" w:rsidRDefault="00844191" w:rsidP="00844191">
            <w:pPr>
              <w:rPr>
                <w:sz w:val="20"/>
              </w:rPr>
            </w:pPr>
            <w:r>
              <w:rPr>
                <w:sz w:val="20"/>
              </w:rPr>
              <w:t xml:space="preserve">5.4 </w:t>
            </w:r>
            <w:r>
              <w:rPr>
                <w:sz w:val="20"/>
              </w:rPr>
              <w:lastRenderedPageBreak/>
              <w:t>paragraph 3</w:t>
            </w:r>
          </w:p>
        </w:tc>
        <w:tc>
          <w:tcPr>
            <w:tcW w:w="994" w:type="dxa"/>
          </w:tcPr>
          <w:p w14:paraId="2ADA72D1" w14:textId="77777777" w:rsidR="00844191" w:rsidRDefault="00844191" w:rsidP="00844191">
            <w:pPr>
              <w:rPr>
                <w:sz w:val="20"/>
              </w:rPr>
            </w:pPr>
            <w:r>
              <w:rPr>
                <w:sz w:val="20"/>
              </w:rPr>
              <w:lastRenderedPageBreak/>
              <w:t>OPEN</w:t>
            </w:r>
          </w:p>
        </w:tc>
        <w:tc>
          <w:tcPr>
            <w:tcW w:w="2144" w:type="dxa"/>
          </w:tcPr>
          <w:p w14:paraId="19738D9A" w14:textId="77777777" w:rsidR="00844191" w:rsidRDefault="00844191" w:rsidP="00844191">
            <w:pPr>
              <w:rPr>
                <w:sz w:val="20"/>
              </w:rPr>
            </w:pPr>
            <w:r>
              <w:rPr>
                <w:sz w:val="20"/>
              </w:rPr>
              <w:t>Problem Management</w:t>
            </w:r>
          </w:p>
        </w:tc>
        <w:tc>
          <w:tcPr>
            <w:tcW w:w="4216" w:type="dxa"/>
          </w:tcPr>
          <w:p w14:paraId="010BFFFA" w14:textId="77777777" w:rsidR="00844191" w:rsidRDefault="00844191" w:rsidP="00844191">
            <w:pPr>
              <w:rPr>
                <w:sz w:val="20"/>
              </w:rPr>
            </w:pPr>
            <w:r>
              <w:rPr>
                <w:sz w:val="20"/>
              </w:rPr>
              <w:t xml:space="preserve">An explicit link and synchronisation between this </w:t>
            </w:r>
            <w:r>
              <w:rPr>
                <w:sz w:val="20"/>
              </w:rPr>
              <w:lastRenderedPageBreak/>
              <w:t>EMI defect tracking system, and the GGUS SUs is missing.</w:t>
            </w:r>
          </w:p>
        </w:tc>
      </w:tr>
      <w:tr w:rsidR="00844191" w:rsidRPr="00AE6ED9" w14:paraId="59D0342F" w14:textId="77777777" w:rsidTr="005C736B">
        <w:tc>
          <w:tcPr>
            <w:tcW w:w="657" w:type="dxa"/>
          </w:tcPr>
          <w:p w14:paraId="5B7E2254" w14:textId="77777777" w:rsidR="00844191" w:rsidRDefault="00844191" w:rsidP="00844191">
            <w:pPr>
              <w:rPr>
                <w:sz w:val="20"/>
              </w:rPr>
            </w:pPr>
            <w:r>
              <w:rPr>
                <w:sz w:val="20"/>
              </w:rPr>
              <w:lastRenderedPageBreak/>
              <w:t>13</w:t>
            </w:r>
          </w:p>
        </w:tc>
        <w:tc>
          <w:tcPr>
            <w:tcW w:w="1269" w:type="dxa"/>
          </w:tcPr>
          <w:p w14:paraId="10F7C7F6" w14:textId="77777777" w:rsidR="00844191" w:rsidRDefault="00844191" w:rsidP="00844191">
            <w:pPr>
              <w:rPr>
                <w:sz w:val="20"/>
              </w:rPr>
            </w:pPr>
            <w:r>
              <w:rPr>
                <w:sz w:val="20"/>
              </w:rPr>
              <w:t>11</w:t>
            </w:r>
          </w:p>
        </w:tc>
        <w:tc>
          <w:tcPr>
            <w:tcW w:w="994" w:type="dxa"/>
          </w:tcPr>
          <w:p w14:paraId="0CBEDADF" w14:textId="77777777" w:rsidR="00844191" w:rsidRDefault="00844191" w:rsidP="00844191">
            <w:pPr>
              <w:rPr>
                <w:sz w:val="20"/>
              </w:rPr>
            </w:pPr>
            <w:r>
              <w:rPr>
                <w:sz w:val="20"/>
              </w:rPr>
              <w:t>OPEN</w:t>
            </w:r>
          </w:p>
        </w:tc>
        <w:tc>
          <w:tcPr>
            <w:tcW w:w="2144" w:type="dxa"/>
          </w:tcPr>
          <w:p w14:paraId="10DF60D3" w14:textId="77777777" w:rsidR="00844191" w:rsidRDefault="00844191" w:rsidP="00844191">
            <w:pPr>
              <w:rPr>
                <w:sz w:val="20"/>
              </w:rPr>
            </w:pPr>
            <w:r>
              <w:rPr>
                <w:sz w:val="20"/>
              </w:rPr>
              <w:t>Named contacts</w:t>
            </w:r>
          </w:p>
        </w:tc>
        <w:tc>
          <w:tcPr>
            <w:tcW w:w="4216" w:type="dxa"/>
          </w:tcPr>
          <w:p w14:paraId="649240E3" w14:textId="77777777" w:rsidR="00844191" w:rsidRDefault="00844191" w:rsidP="00844191">
            <w:pPr>
              <w:rPr>
                <w:sz w:val="20"/>
              </w:rPr>
            </w:pPr>
            <w:r>
              <w:rPr>
                <w:sz w:val="20"/>
              </w:rPr>
              <w:t>What are the named contacts?</w:t>
            </w:r>
          </w:p>
        </w:tc>
      </w:tr>
      <w:tr w:rsidR="00844191" w:rsidRPr="00AE6ED9" w14:paraId="53F68B1D" w14:textId="77777777" w:rsidTr="005C736B">
        <w:tc>
          <w:tcPr>
            <w:tcW w:w="657" w:type="dxa"/>
          </w:tcPr>
          <w:p w14:paraId="236EC23F" w14:textId="77777777" w:rsidR="00844191" w:rsidRDefault="00844191" w:rsidP="00844191">
            <w:pPr>
              <w:rPr>
                <w:sz w:val="20"/>
              </w:rPr>
            </w:pPr>
            <w:r>
              <w:rPr>
                <w:sz w:val="20"/>
              </w:rPr>
              <w:t>14</w:t>
            </w:r>
          </w:p>
        </w:tc>
        <w:tc>
          <w:tcPr>
            <w:tcW w:w="1269" w:type="dxa"/>
          </w:tcPr>
          <w:p w14:paraId="6B1EB630" w14:textId="77777777" w:rsidR="00844191" w:rsidRDefault="00844191" w:rsidP="00844191">
            <w:pPr>
              <w:rPr>
                <w:sz w:val="20"/>
              </w:rPr>
            </w:pPr>
            <w:proofErr w:type="gramStart"/>
            <w:r>
              <w:rPr>
                <w:sz w:val="20"/>
              </w:rPr>
              <w:t>n</w:t>
            </w:r>
            <w:proofErr w:type="gramEnd"/>
            <w:r>
              <w:rPr>
                <w:sz w:val="20"/>
              </w:rPr>
              <w:t>/a</w:t>
            </w:r>
          </w:p>
        </w:tc>
        <w:tc>
          <w:tcPr>
            <w:tcW w:w="994" w:type="dxa"/>
          </w:tcPr>
          <w:p w14:paraId="14403E56" w14:textId="77777777" w:rsidR="00844191" w:rsidRDefault="00844191" w:rsidP="00844191">
            <w:pPr>
              <w:rPr>
                <w:sz w:val="20"/>
              </w:rPr>
            </w:pPr>
            <w:r>
              <w:rPr>
                <w:sz w:val="20"/>
              </w:rPr>
              <w:t>OPEN</w:t>
            </w:r>
          </w:p>
        </w:tc>
        <w:tc>
          <w:tcPr>
            <w:tcW w:w="2144" w:type="dxa"/>
          </w:tcPr>
          <w:p w14:paraId="7FA4161F" w14:textId="77777777" w:rsidR="00844191" w:rsidRDefault="00844191" w:rsidP="00844191">
            <w:pPr>
              <w:rPr>
                <w:sz w:val="20"/>
              </w:rPr>
            </w:pPr>
            <w:r>
              <w:rPr>
                <w:sz w:val="20"/>
              </w:rPr>
              <w:t>DMSU involvement</w:t>
            </w:r>
          </w:p>
        </w:tc>
        <w:tc>
          <w:tcPr>
            <w:tcW w:w="4216" w:type="dxa"/>
          </w:tcPr>
          <w:p w14:paraId="54F19BE5" w14:textId="77777777" w:rsidR="00844191" w:rsidRDefault="00844191" w:rsidP="00844191">
            <w:pPr>
              <w:rPr>
                <w:sz w:val="20"/>
              </w:rPr>
            </w:pPr>
            <w:r>
              <w:rPr>
                <w:sz w:val="20"/>
              </w:rPr>
              <w:t>There is no clear commitment in engaging with DMSU other than tickets in EMI Service Desk (i.e. EMI 3</w:t>
            </w:r>
            <w:r w:rsidRPr="00B1677B">
              <w:rPr>
                <w:sz w:val="20"/>
                <w:vertAlign w:val="superscript"/>
              </w:rPr>
              <w:t>rd</w:t>
            </w:r>
            <w:r>
              <w:rPr>
                <w:sz w:val="20"/>
              </w:rPr>
              <w:t xml:space="preserve"> party GGUS SUs). DMSU requires technical experts involved in assessing the problem severity.</w:t>
            </w:r>
          </w:p>
        </w:tc>
      </w:tr>
      <w:tr w:rsidR="00844191" w:rsidRPr="00AE6ED9" w14:paraId="06B1761E" w14:textId="77777777" w:rsidTr="005C736B">
        <w:tc>
          <w:tcPr>
            <w:tcW w:w="657" w:type="dxa"/>
          </w:tcPr>
          <w:p w14:paraId="3443B918" w14:textId="77777777" w:rsidR="00844191" w:rsidRDefault="00844191" w:rsidP="00844191">
            <w:pPr>
              <w:rPr>
                <w:sz w:val="20"/>
              </w:rPr>
            </w:pPr>
            <w:r>
              <w:rPr>
                <w:sz w:val="20"/>
              </w:rPr>
              <w:t>15</w:t>
            </w:r>
          </w:p>
        </w:tc>
        <w:tc>
          <w:tcPr>
            <w:tcW w:w="1269" w:type="dxa"/>
          </w:tcPr>
          <w:p w14:paraId="2520943A" w14:textId="77777777" w:rsidR="00844191" w:rsidRDefault="00844191" w:rsidP="00844191">
            <w:pPr>
              <w:rPr>
                <w:sz w:val="20"/>
              </w:rPr>
            </w:pPr>
            <w:proofErr w:type="gramStart"/>
            <w:r>
              <w:rPr>
                <w:sz w:val="20"/>
              </w:rPr>
              <w:t>n</w:t>
            </w:r>
            <w:proofErr w:type="gramEnd"/>
            <w:r>
              <w:rPr>
                <w:sz w:val="20"/>
              </w:rPr>
              <w:t>/a</w:t>
            </w:r>
          </w:p>
        </w:tc>
        <w:tc>
          <w:tcPr>
            <w:tcW w:w="994" w:type="dxa"/>
          </w:tcPr>
          <w:p w14:paraId="6DE34BFC" w14:textId="77777777" w:rsidR="00844191" w:rsidRDefault="00844191" w:rsidP="00844191">
            <w:pPr>
              <w:rPr>
                <w:sz w:val="20"/>
              </w:rPr>
            </w:pPr>
            <w:r>
              <w:rPr>
                <w:sz w:val="20"/>
              </w:rPr>
              <w:t>OPEN</w:t>
            </w:r>
          </w:p>
        </w:tc>
        <w:tc>
          <w:tcPr>
            <w:tcW w:w="2144" w:type="dxa"/>
          </w:tcPr>
          <w:p w14:paraId="43E6F75C" w14:textId="77777777" w:rsidR="00844191" w:rsidRDefault="00844191" w:rsidP="00844191">
            <w:pPr>
              <w:rPr>
                <w:sz w:val="20"/>
              </w:rPr>
            </w:pPr>
            <w:r>
              <w:rPr>
                <w:sz w:val="20"/>
              </w:rPr>
              <w:t>SVG/RAT involvement</w:t>
            </w:r>
          </w:p>
        </w:tc>
        <w:tc>
          <w:tcPr>
            <w:tcW w:w="4216" w:type="dxa"/>
          </w:tcPr>
          <w:p w14:paraId="0EAC6528" w14:textId="77777777" w:rsidR="00844191" w:rsidRDefault="00844191" w:rsidP="00844191">
            <w:pPr>
              <w:rPr>
                <w:sz w:val="20"/>
              </w:rPr>
            </w:pPr>
            <w:r>
              <w:rPr>
                <w:sz w:val="20"/>
              </w:rPr>
              <w:t>There is no clear commitment in engaging with SVG’s RAT other than tickets. RAT requires active technical engagement to assess the security threat of the discussed vulnerability.</w:t>
            </w:r>
          </w:p>
        </w:tc>
      </w:tr>
      <w:tr w:rsidR="00844191" w:rsidRPr="00AE6ED9" w14:paraId="154CBAD5" w14:textId="77777777" w:rsidTr="005C736B">
        <w:tc>
          <w:tcPr>
            <w:tcW w:w="657" w:type="dxa"/>
          </w:tcPr>
          <w:p w14:paraId="610D146B" w14:textId="77777777" w:rsidR="00844191" w:rsidRDefault="00844191" w:rsidP="00844191">
            <w:pPr>
              <w:rPr>
                <w:sz w:val="20"/>
              </w:rPr>
            </w:pPr>
            <w:r>
              <w:rPr>
                <w:sz w:val="20"/>
              </w:rPr>
              <w:t>16</w:t>
            </w:r>
          </w:p>
        </w:tc>
        <w:tc>
          <w:tcPr>
            <w:tcW w:w="1269" w:type="dxa"/>
          </w:tcPr>
          <w:p w14:paraId="4DD53D90" w14:textId="77777777" w:rsidR="00844191" w:rsidRDefault="00844191" w:rsidP="00844191">
            <w:pPr>
              <w:rPr>
                <w:sz w:val="20"/>
              </w:rPr>
            </w:pPr>
            <w:r>
              <w:rPr>
                <w:sz w:val="20"/>
              </w:rPr>
              <w:t>5.2.5</w:t>
            </w:r>
          </w:p>
        </w:tc>
        <w:tc>
          <w:tcPr>
            <w:tcW w:w="994" w:type="dxa"/>
          </w:tcPr>
          <w:p w14:paraId="08A79E59" w14:textId="77777777" w:rsidR="00844191" w:rsidRDefault="00844191" w:rsidP="00844191">
            <w:pPr>
              <w:rPr>
                <w:sz w:val="20"/>
              </w:rPr>
            </w:pPr>
            <w:r>
              <w:rPr>
                <w:sz w:val="20"/>
              </w:rPr>
              <w:t>OPEN</w:t>
            </w:r>
          </w:p>
        </w:tc>
        <w:tc>
          <w:tcPr>
            <w:tcW w:w="2144" w:type="dxa"/>
          </w:tcPr>
          <w:p w14:paraId="2172786D" w14:textId="77777777" w:rsidR="00844191" w:rsidRDefault="00844191" w:rsidP="00844191">
            <w:pPr>
              <w:rPr>
                <w:sz w:val="20"/>
              </w:rPr>
            </w:pPr>
            <w:r>
              <w:rPr>
                <w:sz w:val="20"/>
              </w:rPr>
              <w:t>Backup procedures</w:t>
            </w:r>
          </w:p>
        </w:tc>
        <w:tc>
          <w:tcPr>
            <w:tcW w:w="4216" w:type="dxa"/>
          </w:tcPr>
          <w:p w14:paraId="3F82BB00" w14:textId="77777777" w:rsidR="00844191" w:rsidRPr="00844191" w:rsidRDefault="00844191" w:rsidP="00844191">
            <w:pPr>
              <w:rPr>
                <w:sz w:val="20"/>
              </w:rPr>
            </w:pPr>
            <w:r w:rsidRPr="00844191">
              <w:rPr>
                <w:sz w:val="20"/>
              </w:rPr>
              <w:t>This section does not clarify under which circumstances these backup procedures or systems are needed. It needs to clarify if this is needed just during the troubleshooting session, in which case the requirement is acceptable.</w:t>
            </w:r>
            <w:r w:rsidRPr="00844191">
              <w:rPr>
                <w:sz w:val="20"/>
              </w:rPr>
              <w:br/>
              <w:t>On the other hand, a general requirement of this time is not feasible (i.e. we cannot ask any service in production to be fully backed up).</w:t>
            </w:r>
          </w:p>
        </w:tc>
      </w:tr>
      <w:tr w:rsidR="00465606" w:rsidRPr="00AE6ED9" w14:paraId="670BF85B" w14:textId="77777777" w:rsidTr="005C736B">
        <w:tc>
          <w:tcPr>
            <w:tcW w:w="657" w:type="dxa"/>
          </w:tcPr>
          <w:p w14:paraId="3BA829F6" w14:textId="77777777" w:rsidR="00465606" w:rsidRDefault="00465606" w:rsidP="00844191">
            <w:pPr>
              <w:rPr>
                <w:sz w:val="20"/>
              </w:rPr>
            </w:pPr>
            <w:r>
              <w:rPr>
                <w:sz w:val="20"/>
              </w:rPr>
              <w:t>17</w:t>
            </w:r>
          </w:p>
        </w:tc>
        <w:tc>
          <w:tcPr>
            <w:tcW w:w="1269" w:type="dxa"/>
          </w:tcPr>
          <w:p w14:paraId="3D5E9F21" w14:textId="77777777" w:rsidR="00465606" w:rsidRDefault="00465606" w:rsidP="00844191">
            <w:pPr>
              <w:rPr>
                <w:sz w:val="20"/>
              </w:rPr>
            </w:pPr>
            <w:r>
              <w:rPr>
                <w:sz w:val="20"/>
              </w:rPr>
              <w:t>5.2.6 (a)</w:t>
            </w:r>
          </w:p>
        </w:tc>
        <w:tc>
          <w:tcPr>
            <w:tcW w:w="994" w:type="dxa"/>
          </w:tcPr>
          <w:p w14:paraId="720B89E1" w14:textId="77777777" w:rsidR="00465606" w:rsidRDefault="00465606" w:rsidP="00844191">
            <w:pPr>
              <w:rPr>
                <w:sz w:val="20"/>
              </w:rPr>
            </w:pPr>
            <w:r>
              <w:rPr>
                <w:sz w:val="20"/>
              </w:rPr>
              <w:t>OPEN</w:t>
            </w:r>
          </w:p>
        </w:tc>
        <w:tc>
          <w:tcPr>
            <w:tcW w:w="2144" w:type="dxa"/>
          </w:tcPr>
          <w:p w14:paraId="3FB57539" w14:textId="77777777" w:rsidR="00465606" w:rsidRDefault="00465606" w:rsidP="00844191">
            <w:pPr>
              <w:rPr>
                <w:sz w:val="20"/>
              </w:rPr>
            </w:pPr>
            <w:r>
              <w:rPr>
                <w:sz w:val="20"/>
              </w:rPr>
              <w:t>Upgrades and updates</w:t>
            </w:r>
          </w:p>
        </w:tc>
        <w:tc>
          <w:tcPr>
            <w:tcW w:w="4216" w:type="dxa"/>
          </w:tcPr>
          <w:p w14:paraId="2F5EE88B" w14:textId="77777777" w:rsidR="00465606" w:rsidRPr="00844191" w:rsidRDefault="00465606" w:rsidP="00465606">
            <w:pPr>
              <w:rPr>
                <w:sz w:val="20"/>
              </w:rPr>
            </w:pPr>
            <w:r w:rsidRPr="00465606">
              <w:rPr>
                <w:sz w:val="20"/>
              </w:rPr>
              <w:t xml:space="preserve">We cannot guarantee that </w:t>
            </w:r>
            <w:proofErr w:type="gramStart"/>
            <w:r w:rsidRPr="00465606">
              <w:rPr>
                <w:sz w:val="20"/>
              </w:rPr>
              <w:t>ANY software update is applied by a production site</w:t>
            </w:r>
            <w:proofErr w:type="gramEnd"/>
            <w:r w:rsidRPr="00465606">
              <w:rPr>
                <w:sz w:val="20"/>
              </w:rPr>
              <w:t xml:space="preserve">. </w:t>
            </w:r>
            <w:r w:rsidRPr="00465606">
              <w:rPr>
                <w:sz w:val="20"/>
                <w:lang w:val="en-US" w:eastAsia="en-US"/>
              </w:rPr>
              <w:t xml:space="preserve">For example, if we have </w:t>
            </w:r>
            <w:proofErr w:type="gramStart"/>
            <w:r w:rsidRPr="00465606">
              <w:rPr>
                <w:sz w:val="20"/>
                <w:lang w:val="en-US" w:eastAsia="en-US"/>
              </w:rPr>
              <w:t>update</w:t>
            </w:r>
            <w:proofErr w:type="gramEnd"/>
            <w:r w:rsidRPr="00465606">
              <w:rPr>
                <w:sz w:val="20"/>
                <w:lang w:val="en-US" w:eastAsia="en-US"/>
              </w:rPr>
              <w:t xml:space="preserve"> A, then B, then C, I don't see why a site can't skip update B and upgrade from A to C (if A is still supported). A site is free to deploy any component that is still supported. And A site is also free to deploy at its own risk a EMI unsupported component that is supported by the NGI, which does not break interoperability, and which has no vulnerability problems. Of course for unsupported EMI software EGI won't ask 3rd line support</w:t>
            </w:r>
          </w:p>
        </w:tc>
      </w:tr>
      <w:tr w:rsidR="00465606" w:rsidRPr="00AE6ED9" w14:paraId="72023AD0" w14:textId="77777777" w:rsidTr="005C736B">
        <w:tc>
          <w:tcPr>
            <w:tcW w:w="657" w:type="dxa"/>
          </w:tcPr>
          <w:p w14:paraId="5143AF6C" w14:textId="77777777" w:rsidR="00465606" w:rsidRDefault="00324631" w:rsidP="00844191">
            <w:pPr>
              <w:rPr>
                <w:sz w:val="20"/>
              </w:rPr>
            </w:pPr>
            <w:r>
              <w:rPr>
                <w:sz w:val="20"/>
              </w:rPr>
              <w:t>18</w:t>
            </w:r>
          </w:p>
        </w:tc>
        <w:tc>
          <w:tcPr>
            <w:tcW w:w="1269" w:type="dxa"/>
          </w:tcPr>
          <w:p w14:paraId="2CAD9F72" w14:textId="77777777" w:rsidR="00465606" w:rsidRDefault="00324631" w:rsidP="00844191">
            <w:pPr>
              <w:rPr>
                <w:sz w:val="20"/>
              </w:rPr>
            </w:pPr>
            <w:r>
              <w:rPr>
                <w:sz w:val="20"/>
              </w:rPr>
              <w:t>5.3.2</w:t>
            </w:r>
          </w:p>
        </w:tc>
        <w:tc>
          <w:tcPr>
            <w:tcW w:w="994" w:type="dxa"/>
          </w:tcPr>
          <w:p w14:paraId="1BCAB0C2" w14:textId="77777777" w:rsidR="00465606" w:rsidRDefault="00324631" w:rsidP="00844191">
            <w:pPr>
              <w:rPr>
                <w:sz w:val="20"/>
              </w:rPr>
            </w:pPr>
            <w:r>
              <w:rPr>
                <w:sz w:val="20"/>
              </w:rPr>
              <w:t>OPEN</w:t>
            </w:r>
          </w:p>
        </w:tc>
        <w:tc>
          <w:tcPr>
            <w:tcW w:w="2144" w:type="dxa"/>
          </w:tcPr>
          <w:p w14:paraId="49EBBBDF" w14:textId="77777777" w:rsidR="00465606" w:rsidRDefault="00324631" w:rsidP="00844191">
            <w:pPr>
              <w:rPr>
                <w:sz w:val="20"/>
              </w:rPr>
            </w:pPr>
            <w:r>
              <w:rPr>
                <w:sz w:val="20"/>
              </w:rPr>
              <w:t>Support Lifecycle</w:t>
            </w:r>
          </w:p>
        </w:tc>
        <w:tc>
          <w:tcPr>
            <w:tcW w:w="4216" w:type="dxa"/>
          </w:tcPr>
          <w:p w14:paraId="73933918" w14:textId="77777777" w:rsidR="00465606" w:rsidRPr="008C19A2" w:rsidRDefault="008C19A2" w:rsidP="00844191">
            <w:pPr>
              <w:rPr>
                <w:sz w:val="20"/>
              </w:rPr>
            </w:pPr>
            <w:r w:rsidRPr="008C19A2">
              <w:rPr>
                <w:sz w:val="20"/>
              </w:rPr>
              <w:fldChar w:fldCharType="begin"/>
            </w:r>
            <w:r w:rsidRPr="008C19A2">
              <w:rPr>
                <w:sz w:val="20"/>
              </w:rPr>
              <w:instrText xml:space="preserve"> HYPERLINK "http://www.eu-emi.eu/services/lifecycle/support_periods.htm" \t "_blank" </w:instrText>
            </w:r>
            <w:r w:rsidRPr="008C19A2">
              <w:rPr>
                <w:sz w:val="20"/>
              </w:rPr>
              <w:fldChar w:fldCharType="separate"/>
            </w:r>
            <w:r w:rsidRPr="008C19A2">
              <w:rPr>
                <w:rStyle w:val="Hyperlink"/>
                <w:sz w:val="20"/>
              </w:rPr>
              <w:t>http://www.eu-emi.eu/services/lifecycle/support_periods.htm</w:t>
            </w:r>
            <w:r w:rsidRPr="008C19A2">
              <w:rPr>
                <w:sz w:val="20"/>
              </w:rPr>
              <w:fldChar w:fldCharType="end"/>
            </w:r>
            <w:r w:rsidRPr="008C19A2">
              <w:rPr>
                <w:sz w:val="20"/>
              </w:rPr>
              <w:t xml:space="preserve"> does not exist</w:t>
            </w:r>
          </w:p>
        </w:tc>
      </w:tr>
      <w:tr w:rsidR="008C19A2" w:rsidRPr="00AE6ED9" w14:paraId="027AA80F" w14:textId="77777777" w:rsidTr="005C736B">
        <w:tc>
          <w:tcPr>
            <w:tcW w:w="657" w:type="dxa"/>
          </w:tcPr>
          <w:p w14:paraId="5A972962" w14:textId="77777777" w:rsidR="008C19A2" w:rsidRDefault="008C19A2" w:rsidP="00844191">
            <w:pPr>
              <w:rPr>
                <w:sz w:val="20"/>
              </w:rPr>
            </w:pPr>
            <w:r>
              <w:rPr>
                <w:sz w:val="20"/>
              </w:rPr>
              <w:t>19</w:t>
            </w:r>
          </w:p>
        </w:tc>
        <w:tc>
          <w:tcPr>
            <w:tcW w:w="1269" w:type="dxa"/>
          </w:tcPr>
          <w:p w14:paraId="741B7D20" w14:textId="77777777" w:rsidR="008C19A2" w:rsidRDefault="008C19A2" w:rsidP="00844191">
            <w:pPr>
              <w:rPr>
                <w:sz w:val="20"/>
              </w:rPr>
            </w:pPr>
            <w:r>
              <w:rPr>
                <w:sz w:val="20"/>
              </w:rPr>
              <w:t>Across doc.</w:t>
            </w:r>
          </w:p>
        </w:tc>
        <w:tc>
          <w:tcPr>
            <w:tcW w:w="994" w:type="dxa"/>
          </w:tcPr>
          <w:p w14:paraId="5D9C1D60" w14:textId="77777777" w:rsidR="008C19A2" w:rsidRDefault="008C19A2" w:rsidP="00844191">
            <w:pPr>
              <w:rPr>
                <w:sz w:val="20"/>
              </w:rPr>
            </w:pPr>
            <w:r>
              <w:rPr>
                <w:sz w:val="20"/>
              </w:rPr>
              <w:t>OPEN</w:t>
            </w:r>
          </w:p>
        </w:tc>
        <w:tc>
          <w:tcPr>
            <w:tcW w:w="2144" w:type="dxa"/>
          </w:tcPr>
          <w:p w14:paraId="491FC351" w14:textId="77777777" w:rsidR="008C19A2" w:rsidRDefault="008C19A2" w:rsidP="00844191">
            <w:pPr>
              <w:rPr>
                <w:sz w:val="20"/>
              </w:rPr>
            </w:pPr>
            <w:r>
              <w:rPr>
                <w:sz w:val="20"/>
              </w:rPr>
              <w:t>Definition of terms</w:t>
            </w:r>
          </w:p>
        </w:tc>
        <w:tc>
          <w:tcPr>
            <w:tcW w:w="4216" w:type="dxa"/>
          </w:tcPr>
          <w:p w14:paraId="6294D34A" w14:textId="77777777" w:rsidR="008C19A2" w:rsidRPr="008C19A2" w:rsidRDefault="008C19A2" w:rsidP="00844191">
            <w:pPr>
              <w:rPr>
                <w:sz w:val="20"/>
              </w:rPr>
            </w:pPr>
            <w:r>
              <w:rPr>
                <w:sz w:val="20"/>
              </w:rPr>
              <w:t>“Problem” and “Incident” are not defined.</w:t>
            </w:r>
          </w:p>
        </w:tc>
      </w:tr>
      <w:tr w:rsidR="008C19A2" w:rsidRPr="00AE6ED9" w14:paraId="0BD17189" w14:textId="77777777" w:rsidTr="005C736B">
        <w:tc>
          <w:tcPr>
            <w:tcW w:w="657" w:type="dxa"/>
          </w:tcPr>
          <w:p w14:paraId="368E09B0" w14:textId="77777777" w:rsidR="008C19A2" w:rsidRDefault="008C19A2" w:rsidP="00844191">
            <w:pPr>
              <w:rPr>
                <w:sz w:val="20"/>
              </w:rPr>
            </w:pPr>
            <w:r>
              <w:rPr>
                <w:sz w:val="20"/>
              </w:rPr>
              <w:t>20</w:t>
            </w:r>
          </w:p>
        </w:tc>
        <w:tc>
          <w:tcPr>
            <w:tcW w:w="1269" w:type="dxa"/>
          </w:tcPr>
          <w:p w14:paraId="02166E4C" w14:textId="77777777" w:rsidR="008C19A2" w:rsidRDefault="008C19A2" w:rsidP="00844191">
            <w:pPr>
              <w:rPr>
                <w:sz w:val="20"/>
              </w:rPr>
            </w:pPr>
            <w:r>
              <w:rPr>
                <w:sz w:val="20"/>
              </w:rPr>
              <w:t>5.3.1</w:t>
            </w:r>
          </w:p>
        </w:tc>
        <w:tc>
          <w:tcPr>
            <w:tcW w:w="994" w:type="dxa"/>
          </w:tcPr>
          <w:p w14:paraId="31921D6C" w14:textId="77777777" w:rsidR="008C19A2" w:rsidRDefault="008C19A2" w:rsidP="00844191">
            <w:pPr>
              <w:rPr>
                <w:sz w:val="20"/>
              </w:rPr>
            </w:pPr>
            <w:r>
              <w:rPr>
                <w:sz w:val="20"/>
              </w:rPr>
              <w:t>OPEN</w:t>
            </w:r>
          </w:p>
        </w:tc>
        <w:tc>
          <w:tcPr>
            <w:tcW w:w="2144" w:type="dxa"/>
          </w:tcPr>
          <w:p w14:paraId="4D7F7A79" w14:textId="77777777" w:rsidR="008C19A2" w:rsidRDefault="008C19A2" w:rsidP="00844191">
            <w:pPr>
              <w:rPr>
                <w:sz w:val="20"/>
              </w:rPr>
            </w:pPr>
            <w:r>
              <w:rPr>
                <w:sz w:val="20"/>
              </w:rPr>
              <w:t>Product catalogue</w:t>
            </w:r>
          </w:p>
        </w:tc>
        <w:tc>
          <w:tcPr>
            <w:tcW w:w="4216" w:type="dxa"/>
          </w:tcPr>
          <w:p w14:paraId="2E8A5451" w14:textId="77777777" w:rsidR="008C19A2" w:rsidRDefault="008C19A2" w:rsidP="00844191">
            <w:pPr>
              <w:rPr>
                <w:sz w:val="20"/>
              </w:rPr>
            </w:pPr>
            <w:r>
              <w:rPr>
                <w:sz w:val="20"/>
              </w:rPr>
              <w:t>The catalogue is not defined, or no link given.</w:t>
            </w:r>
          </w:p>
        </w:tc>
      </w:tr>
      <w:tr w:rsidR="007C6690" w:rsidRPr="007C6690" w14:paraId="70EA97A6" w14:textId="77777777" w:rsidTr="005C736B">
        <w:tc>
          <w:tcPr>
            <w:tcW w:w="657" w:type="dxa"/>
          </w:tcPr>
          <w:p w14:paraId="7CFD3A88" w14:textId="77777777" w:rsidR="007C6690" w:rsidRDefault="007C6690" w:rsidP="00844191">
            <w:pPr>
              <w:rPr>
                <w:sz w:val="20"/>
              </w:rPr>
            </w:pPr>
            <w:r>
              <w:rPr>
                <w:sz w:val="20"/>
              </w:rPr>
              <w:t>21</w:t>
            </w:r>
          </w:p>
        </w:tc>
        <w:tc>
          <w:tcPr>
            <w:tcW w:w="1269" w:type="dxa"/>
          </w:tcPr>
          <w:p w14:paraId="19BB623A" w14:textId="77777777" w:rsidR="007C6690" w:rsidRDefault="007C6690" w:rsidP="00844191">
            <w:pPr>
              <w:rPr>
                <w:sz w:val="20"/>
              </w:rPr>
            </w:pPr>
            <w:r>
              <w:rPr>
                <w:sz w:val="20"/>
              </w:rPr>
              <w:t>5.4.1</w:t>
            </w:r>
          </w:p>
        </w:tc>
        <w:tc>
          <w:tcPr>
            <w:tcW w:w="994" w:type="dxa"/>
          </w:tcPr>
          <w:p w14:paraId="44B4176C" w14:textId="77777777" w:rsidR="007C6690" w:rsidRDefault="007C6690" w:rsidP="00844191">
            <w:pPr>
              <w:rPr>
                <w:sz w:val="20"/>
              </w:rPr>
            </w:pPr>
            <w:r>
              <w:rPr>
                <w:sz w:val="20"/>
              </w:rPr>
              <w:t>OPEN</w:t>
            </w:r>
          </w:p>
        </w:tc>
        <w:tc>
          <w:tcPr>
            <w:tcW w:w="2144" w:type="dxa"/>
          </w:tcPr>
          <w:p w14:paraId="4BF36798" w14:textId="77777777" w:rsidR="007C6690" w:rsidRDefault="007C6690" w:rsidP="00844191">
            <w:pPr>
              <w:rPr>
                <w:sz w:val="20"/>
              </w:rPr>
            </w:pPr>
            <w:r>
              <w:rPr>
                <w:sz w:val="20"/>
              </w:rPr>
              <w:t>GGUS as web based support</w:t>
            </w:r>
          </w:p>
        </w:tc>
        <w:tc>
          <w:tcPr>
            <w:tcW w:w="4216" w:type="dxa"/>
          </w:tcPr>
          <w:p w14:paraId="53DA187F" w14:textId="77777777" w:rsidR="007C6690" w:rsidRPr="007C6690" w:rsidRDefault="007C6690" w:rsidP="00844191">
            <w:pPr>
              <w:rPr>
                <w:sz w:val="20"/>
              </w:rPr>
            </w:pPr>
            <w:r w:rsidRPr="007C6690">
              <w:rPr>
                <w:sz w:val="20"/>
              </w:rPr>
              <w:t xml:space="preserve">This is certainly through fro EGI as a customer, but I'm not aware of discussions about the usage of the same front end for non-EGI users. EGI may want to expose the same front end to the users of other infrastructures (for example PRACE), but that requires discussion and agreement (as this has implications in a fee for service model), and these discussions need to involve EGI (not EMI) as long as this is </w:t>
            </w:r>
            <w:proofErr w:type="gramStart"/>
            <w:r w:rsidRPr="007C6690">
              <w:rPr>
                <w:sz w:val="20"/>
              </w:rPr>
              <w:t>a</w:t>
            </w:r>
            <w:proofErr w:type="gramEnd"/>
            <w:r w:rsidRPr="007C6690">
              <w:rPr>
                <w:sz w:val="20"/>
              </w:rPr>
              <w:t xml:space="preserve"> EGI funded service.</w:t>
            </w:r>
          </w:p>
        </w:tc>
      </w:tr>
      <w:tr w:rsidR="007C6690" w:rsidRPr="007C6690" w14:paraId="29231472" w14:textId="77777777" w:rsidTr="005C736B">
        <w:tc>
          <w:tcPr>
            <w:tcW w:w="657" w:type="dxa"/>
          </w:tcPr>
          <w:p w14:paraId="72C8C180" w14:textId="77777777" w:rsidR="007C6690" w:rsidRDefault="0061420A" w:rsidP="00844191">
            <w:pPr>
              <w:rPr>
                <w:sz w:val="20"/>
              </w:rPr>
            </w:pPr>
            <w:r>
              <w:rPr>
                <w:sz w:val="20"/>
              </w:rPr>
              <w:t>22</w:t>
            </w:r>
          </w:p>
        </w:tc>
        <w:tc>
          <w:tcPr>
            <w:tcW w:w="1269" w:type="dxa"/>
          </w:tcPr>
          <w:p w14:paraId="1AB431A1" w14:textId="77777777" w:rsidR="007C6690" w:rsidRDefault="0061420A" w:rsidP="00844191">
            <w:pPr>
              <w:rPr>
                <w:sz w:val="20"/>
              </w:rPr>
            </w:pPr>
            <w:r>
              <w:rPr>
                <w:sz w:val="20"/>
              </w:rPr>
              <w:t>6.2</w:t>
            </w:r>
          </w:p>
        </w:tc>
        <w:tc>
          <w:tcPr>
            <w:tcW w:w="994" w:type="dxa"/>
          </w:tcPr>
          <w:p w14:paraId="0DE0B725" w14:textId="77777777" w:rsidR="007C6690" w:rsidRDefault="0061420A" w:rsidP="00844191">
            <w:pPr>
              <w:rPr>
                <w:sz w:val="20"/>
              </w:rPr>
            </w:pPr>
            <w:r>
              <w:rPr>
                <w:sz w:val="20"/>
              </w:rPr>
              <w:t>OPEN</w:t>
            </w:r>
          </w:p>
        </w:tc>
        <w:tc>
          <w:tcPr>
            <w:tcW w:w="2144" w:type="dxa"/>
          </w:tcPr>
          <w:p w14:paraId="00DECF20" w14:textId="77777777" w:rsidR="007C6690" w:rsidRDefault="0061420A" w:rsidP="0061420A">
            <w:pPr>
              <w:rPr>
                <w:sz w:val="20"/>
              </w:rPr>
            </w:pPr>
            <w:r>
              <w:rPr>
                <w:sz w:val="20"/>
              </w:rPr>
              <w:t>Definition of terms</w:t>
            </w:r>
          </w:p>
        </w:tc>
        <w:tc>
          <w:tcPr>
            <w:tcW w:w="4216" w:type="dxa"/>
          </w:tcPr>
          <w:p w14:paraId="7EBCB971" w14:textId="77777777" w:rsidR="007C6690" w:rsidRPr="007C6690" w:rsidRDefault="0061420A" w:rsidP="0061420A">
            <w:pPr>
              <w:rPr>
                <w:sz w:val="20"/>
              </w:rPr>
            </w:pPr>
            <w:r>
              <w:rPr>
                <w:sz w:val="20"/>
              </w:rPr>
              <w:t xml:space="preserve">“Response “ and “Addressing a ticket” are not clearly defined. Those terms need definition before the response times guaranteed in the SLA </w:t>
            </w:r>
            <w:r>
              <w:rPr>
                <w:sz w:val="20"/>
              </w:rPr>
              <w:lastRenderedPageBreak/>
              <w:t>can be assessed.</w:t>
            </w:r>
          </w:p>
        </w:tc>
      </w:tr>
    </w:tbl>
    <w:p w14:paraId="6A27DC75" w14:textId="1F20B90C" w:rsidR="005C736B" w:rsidRDefault="005C736B" w:rsidP="005C736B">
      <w:pPr>
        <w:pStyle w:val="Heading2"/>
        <w:rPr>
          <w:rFonts w:cs="Calibri"/>
        </w:rPr>
      </w:pPr>
      <w:bookmarkStart w:id="4" w:name="_Toc163108779"/>
      <w:r>
        <w:rPr>
          <w:rFonts w:cs="Calibri"/>
        </w:rPr>
        <w:lastRenderedPageBreak/>
        <w:t>Third review (up to and including 30 March 2011)</w:t>
      </w:r>
      <w:bookmarkEnd w:id="4"/>
    </w:p>
    <w:p w14:paraId="16416486" w14:textId="77777777" w:rsidR="005C736B" w:rsidRDefault="005C736B" w:rsidP="005C736B">
      <w:r>
        <w:t>The following table lists issues emerging from the EMI SLA draft v1.1</w:t>
      </w:r>
    </w:p>
    <w:p w14:paraId="54DD1A40" w14:textId="77777777" w:rsidR="00827FA9" w:rsidRDefault="00827FA9" w:rsidP="005C736B"/>
    <w:p w14:paraId="0731BA91" w14:textId="19CEFB22" w:rsidR="004117C5" w:rsidRDefault="004117C5" w:rsidP="005C736B">
      <w:r>
        <w:t>Legend for the issues list</w:t>
      </w:r>
    </w:p>
    <w:p w14:paraId="4144DB99" w14:textId="01D20601" w:rsidR="00827FA9" w:rsidRDefault="00827FA9" w:rsidP="00827FA9">
      <w:pPr>
        <w:pStyle w:val="ListParagraph"/>
        <w:numPr>
          <w:ilvl w:val="0"/>
          <w:numId w:val="43"/>
        </w:numPr>
      </w:pPr>
      <w:r w:rsidRPr="00827FA9">
        <w:rPr>
          <w:highlight w:val="green"/>
        </w:rPr>
        <w:t>Green</w:t>
      </w:r>
      <w:r>
        <w:tab/>
        <w:t>- Issue that is not critical but needs changing.</w:t>
      </w:r>
    </w:p>
    <w:p w14:paraId="7C0C7FA7" w14:textId="68D36C35" w:rsidR="00827FA9" w:rsidRDefault="00827FA9" w:rsidP="00827FA9">
      <w:pPr>
        <w:pStyle w:val="ListParagraph"/>
        <w:numPr>
          <w:ilvl w:val="0"/>
          <w:numId w:val="43"/>
        </w:numPr>
      </w:pPr>
      <w:r w:rsidRPr="00827FA9">
        <w:rPr>
          <w:highlight w:val="yellow"/>
        </w:rPr>
        <w:t>Yellow</w:t>
      </w:r>
      <w:r>
        <w:tab/>
        <w:t>- Issue with alternative suggestions to EMI</w:t>
      </w:r>
    </w:p>
    <w:p w14:paraId="7D0506B9" w14:textId="4B5DCECD" w:rsidR="00827FA9" w:rsidRDefault="00827FA9" w:rsidP="00827FA9">
      <w:pPr>
        <w:pStyle w:val="ListParagraph"/>
        <w:numPr>
          <w:ilvl w:val="0"/>
          <w:numId w:val="43"/>
        </w:numPr>
      </w:pPr>
      <w:r w:rsidRPr="00827FA9">
        <w:rPr>
          <w:highlight w:val="red"/>
        </w:rPr>
        <w:t>Red</w:t>
      </w:r>
      <w:r>
        <w:tab/>
        <w:t>- Critical issue that hinders assessing and accepting the SLA (draft)</w:t>
      </w:r>
    </w:p>
    <w:p w14:paraId="713D0FB4" w14:textId="7EC5CAD3" w:rsidR="00827FA9" w:rsidRDefault="00827FA9" w:rsidP="00827FA9">
      <w:pPr>
        <w:pStyle w:val="ListParagraph"/>
        <w:numPr>
          <w:ilvl w:val="0"/>
          <w:numId w:val="43"/>
        </w:numPr>
      </w:pPr>
      <w:r>
        <w:t>Issues that appeared in a previous review but are removed are clearly no issues at all (anymore).</w:t>
      </w:r>
    </w:p>
    <w:p w14:paraId="5DC30D32" w14:textId="77777777" w:rsidR="00827FA9" w:rsidRDefault="00827FA9" w:rsidP="00827FA9"/>
    <w:tbl>
      <w:tblPr>
        <w:tblStyle w:val="TableGrid"/>
        <w:tblW w:w="0" w:type="auto"/>
        <w:tblLook w:val="04A0" w:firstRow="1" w:lastRow="0" w:firstColumn="1" w:lastColumn="0" w:noHBand="0" w:noVBand="1"/>
      </w:tblPr>
      <w:tblGrid>
        <w:gridCol w:w="657"/>
        <w:gridCol w:w="1269"/>
        <w:gridCol w:w="994"/>
        <w:gridCol w:w="2144"/>
        <w:gridCol w:w="4216"/>
      </w:tblGrid>
      <w:tr w:rsidR="005C736B" w:rsidRPr="00F32DA5" w14:paraId="0B915CB6" w14:textId="77777777" w:rsidTr="005C736B">
        <w:tc>
          <w:tcPr>
            <w:tcW w:w="657" w:type="dxa"/>
            <w:shd w:val="clear" w:color="auto" w:fill="C0C0C0"/>
          </w:tcPr>
          <w:p w14:paraId="65BA315C" w14:textId="77777777" w:rsidR="005C736B" w:rsidRPr="00F32DA5" w:rsidRDefault="005C736B" w:rsidP="005C736B">
            <w:pPr>
              <w:rPr>
                <w:b/>
                <w:sz w:val="20"/>
              </w:rPr>
            </w:pPr>
            <w:r w:rsidRPr="00F32DA5">
              <w:rPr>
                <w:b/>
                <w:sz w:val="20"/>
              </w:rPr>
              <w:t>Issue</w:t>
            </w:r>
          </w:p>
        </w:tc>
        <w:tc>
          <w:tcPr>
            <w:tcW w:w="1269" w:type="dxa"/>
            <w:shd w:val="clear" w:color="auto" w:fill="C0C0C0"/>
          </w:tcPr>
          <w:p w14:paraId="3304779B" w14:textId="77777777" w:rsidR="005C736B" w:rsidRPr="00F32DA5" w:rsidRDefault="005C736B" w:rsidP="005C736B">
            <w:pPr>
              <w:rPr>
                <w:b/>
                <w:sz w:val="20"/>
              </w:rPr>
            </w:pPr>
            <w:r w:rsidRPr="00F32DA5">
              <w:rPr>
                <w:b/>
                <w:sz w:val="20"/>
              </w:rPr>
              <w:t>Section(s)</w:t>
            </w:r>
          </w:p>
        </w:tc>
        <w:tc>
          <w:tcPr>
            <w:tcW w:w="994" w:type="dxa"/>
            <w:shd w:val="clear" w:color="auto" w:fill="C0C0C0"/>
          </w:tcPr>
          <w:p w14:paraId="4D6D3F56" w14:textId="77777777" w:rsidR="005C736B" w:rsidRPr="00F32DA5" w:rsidRDefault="005C736B" w:rsidP="005C736B">
            <w:pPr>
              <w:rPr>
                <w:b/>
                <w:sz w:val="20"/>
              </w:rPr>
            </w:pPr>
            <w:r w:rsidRPr="00F32DA5">
              <w:rPr>
                <w:b/>
                <w:sz w:val="20"/>
              </w:rPr>
              <w:t>Status</w:t>
            </w:r>
          </w:p>
        </w:tc>
        <w:tc>
          <w:tcPr>
            <w:tcW w:w="2144" w:type="dxa"/>
            <w:shd w:val="clear" w:color="auto" w:fill="C0C0C0"/>
          </w:tcPr>
          <w:p w14:paraId="7323B1C3" w14:textId="77777777" w:rsidR="005C736B" w:rsidRPr="00F32DA5" w:rsidRDefault="005C736B" w:rsidP="005C736B">
            <w:pPr>
              <w:rPr>
                <w:b/>
                <w:sz w:val="20"/>
              </w:rPr>
            </w:pPr>
            <w:r w:rsidRPr="00F32DA5">
              <w:rPr>
                <w:b/>
                <w:sz w:val="20"/>
              </w:rPr>
              <w:t>Name</w:t>
            </w:r>
          </w:p>
        </w:tc>
        <w:tc>
          <w:tcPr>
            <w:tcW w:w="4216" w:type="dxa"/>
            <w:shd w:val="clear" w:color="auto" w:fill="C0C0C0"/>
          </w:tcPr>
          <w:p w14:paraId="3B6778C8" w14:textId="77777777" w:rsidR="005C736B" w:rsidRPr="00F32DA5" w:rsidRDefault="005C736B" w:rsidP="005C736B">
            <w:pPr>
              <w:rPr>
                <w:b/>
                <w:sz w:val="20"/>
              </w:rPr>
            </w:pPr>
            <w:r w:rsidRPr="00F32DA5">
              <w:rPr>
                <w:b/>
                <w:sz w:val="20"/>
              </w:rPr>
              <w:t>Description</w:t>
            </w:r>
          </w:p>
        </w:tc>
      </w:tr>
      <w:tr w:rsidR="005C736B" w:rsidRPr="00AE6ED9" w14:paraId="049E823B" w14:textId="77777777" w:rsidTr="005C736B">
        <w:tc>
          <w:tcPr>
            <w:tcW w:w="657" w:type="dxa"/>
          </w:tcPr>
          <w:p w14:paraId="629E739A" w14:textId="77777777" w:rsidR="005C736B" w:rsidRPr="005C736B" w:rsidRDefault="005C736B" w:rsidP="005C736B">
            <w:pPr>
              <w:rPr>
                <w:sz w:val="20"/>
                <w:highlight w:val="green"/>
              </w:rPr>
            </w:pPr>
            <w:r w:rsidRPr="005C736B">
              <w:rPr>
                <w:sz w:val="20"/>
                <w:highlight w:val="green"/>
              </w:rPr>
              <w:t>1</w:t>
            </w:r>
          </w:p>
        </w:tc>
        <w:tc>
          <w:tcPr>
            <w:tcW w:w="1269" w:type="dxa"/>
          </w:tcPr>
          <w:p w14:paraId="73C5D1B4" w14:textId="77777777" w:rsidR="005C736B" w:rsidRPr="005C736B" w:rsidRDefault="005C736B" w:rsidP="005C736B">
            <w:pPr>
              <w:rPr>
                <w:sz w:val="20"/>
                <w:highlight w:val="green"/>
              </w:rPr>
            </w:pPr>
            <w:r w:rsidRPr="005C736B">
              <w:rPr>
                <w:sz w:val="20"/>
                <w:highlight w:val="green"/>
              </w:rPr>
              <w:t>2. &amp; 3.</w:t>
            </w:r>
          </w:p>
        </w:tc>
        <w:tc>
          <w:tcPr>
            <w:tcW w:w="994" w:type="dxa"/>
          </w:tcPr>
          <w:p w14:paraId="070AE2C6" w14:textId="77777777" w:rsidR="005C736B" w:rsidRPr="005C736B" w:rsidRDefault="005C736B" w:rsidP="005C736B">
            <w:pPr>
              <w:rPr>
                <w:sz w:val="20"/>
                <w:highlight w:val="green"/>
              </w:rPr>
            </w:pPr>
            <w:r w:rsidRPr="005C736B">
              <w:rPr>
                <w:sz w:val="20"/>
                <w:highlight w:val="green"/>
              </w:rPr>
              <w:t>OPEN</w:t>
            </w:r>
          </w:p>
        </w:tc>
        <w:tc>
          <w:tcPr>
            <w:tcW w:w="2144" w:type="dxa"/>
          </w:tcPr>
          <w:p w14:paraId="47AA8D7C" w14:textId="77777777" w:rsidR="005C736B" w:rsidRPr="005C736B" w:rsidRDefault="005C736B" w:rsidP="005C736B">
            <w:pPr>
              <w:rPr>
                <w:sz w:val="20"/>
                <w:highlight w:val="green"/>
              </w:rPr>
            </w:pPr>
            <w:r w:rsidRPr="005C736B">
              <w:rPr>
                <w:sz w:val="20"/>
                <w:highlight w:val="green"/>
              </w:rPr>
              <w:t>&lt;Customer&gt; placeholder</w:t>
            </w:r>
          </w:p>
        </w:tc>
        <w:tc>
          <w:tcPr>
            <w:tcW w:w="4216" w:type="dxa"/>
          </w:tcPr>
          <w:p w14:paraId="7502B9CA" w14:textId="77777777" w:rsidR="005C736B" w:rsidRPr="005C736B" w:rsidRDefault="005C736B" w:rsidP="005C736B">
            <w:pPr>
              <w:rPr>
                <w:sz w:val="20"/>
                <w:highlight w:val="green"/>
              </w:rPr>
            </w:pPr>
            <w:r w:rsidRPr="005C736B">
              <w:rPr>
                <w:sz w:val="20"/>
                <w:highlight w:val="green"/>
              </w:rPr>
              <w:t>Placeholder should be replaced with “EGI”.</w:t>
            </w:r>
          </w:p>
        </w:tc>
      </w:tr>
      <w:tr w:rsidR="005C736B" w:rsidRPr="00AE6ED9" w14:paraId="6D7FB3A1" w14:textId="77777777" w:rsidTr="005C736B">
        <w:tc>
          <w:tcPr>
            <w:tcW w:w="657" w:type="dxa"/>
          </w:tcPr>
          <w:p w14:paraId="4FF6D10C" w14:textId="77777777" w:rsidR="005C736B" w:rsidRPr="005C736B" w:rsidRDefault="005C736B" w:rsidP="005C736B">
            <w:pPr>
              <w:rPr>
                <w:sz w:val="20"/>
                <w:highlight w:val="green"/>
              </w:rPr>
            </w:pPr>
            <w:r w:rsidRPr="005C736B">
              <w:rPr>
                <w:sz w:val="20"/>
                <w:highlight w:val="green"/>
              </w:rPr>
              <w:t>2</w:t>
            </w:r>
          </w:p>
        </w:tc>
        <w:tc>
          <w:tcPr>
            <w:tcW w:w="1269" w:type="dxa"/>
          </w:tcPr>
          <w:p w14:paraId="4ABE9B5E" w14:textId="77777777" w:rsidR="005C736B" w:rsidRPr="005C736B" w:rsidRDefault="005C736B" w:rsidP="005C736B">
            <w:pPr>
              <w:rPr>
                <w:sz w:val="20"/>
                <w:highlight w:val="green"/>
              </w:rPr>
            </w:pPr>
            <w:r w:rsidRPr="005C736B">
              <w:rPr>
                <w:sz w:val="20"/>
                <w:highlight w:val="green"/>
              </w:rPr>
              <w:t xml:space="preserve">2. &amp; 3. </w:t>
            </w:r>
          </w:p>
        </w:tc>
        <w:tc>
          <w:tcPr>
            <w:tcW w:w="994" w:type="dxa"/>
          </w:tcPr>
          <w:p w14:paraId="0D5B2F1B" w14:textId="77777777" w:rsidR="005C736B" w:rsidRPr="005C736B" w:rsidRDefault="005C736B" w:rsidP="005C736B">
            <w:pPr>
              <w:rPr>
                <w:sz w:val="20"/>
                <w:highlight w:val="green"/>
              </w:rPr>
            </w:pPr>
            <w:r w:rsidRPr="005C736B">
              <w:rPr>
                <w:sz w:val="20"/>
                <w:highlight w:val="green"/>
              </w:rPr>
              <w:t>OPEN</w:t>
            </w:r>
          </w:p>
        </w:tc>
        <w:tc>
          <w:tcPr>
            <w:tcW w:w="2144" w:type="dxa"/>
          </w:tcPr>
          <w:p w14:paraId="7E2ADCFF" w14:textId="77777777" w:rsidR="005C736B" w:rsidRPr="005C736B" w:rsidRDefault="005C736B" w:rsidP="005C736B">
            <w:pPr>
              <w:rPr>
                <w:sz w:val="20"/>
                <w:highlight w:val="green"/>
              </w:rPr>
            </w:pPr>
            <w:r w:rsidRPr="005C736B">
              <w:rPr>
                <w:sz w:val="20"/>
                <w:highlight w:val="green"/>
              </w:rPr>
              <w:t>&lt;Customer product or service&gt; placeholder</w:t>
            </w:r>
          </w:p>
        </w:tc>
        <w:tc>
          <w:tcPr>
            <w:tcW w:w="4216" w:type="dxa"/>
          </w:tcPr>
          <w:p w14:paraId="4D6D19B3" w14:textId="77777777" w:rsidR="005C736B" w:rsidRPr="005C736B" w:rsidRDefault="005C736B" w:rsidP="005C736B">
            <w:pPr>
              <w:rPr>
                <w:sz w:val="20"/>
                <w:highlight w:val="green"/>
              </w:rPr>
            </w:pPr>
            <w:r w:rsidRPr="005C736B">
              <w:rPr>
                <w:sz w:val="20"/>
                <w:highlight w:val="green"/>
              </w:rPr>
              <w:t>Placeholder should be replaced with “EGI Production infrastructure.</w:t>
            </w:r>
          </w:p>
        </w:tc>
      </w:tr>
      <w:tr w:rsidR="005C736B" w:rsidRPr="00AE6ED9" w14:paraId="71C0B993" w14:textId="77777777" w:rsidTr="005C736B">
        <w:tc>
          <w:tcPr>
            <w:tcW w:w="657" w:type="dxa"/>
          </w:tcPr>
          <w:p w14:paraId="571B0BE4" w14:textId="77777777" w:rsidR="005C736B" w:rsidRPr="00827FA9" w:rsidRDefault="005C736B" w:rsidP="005C736B">
            <w:pPr>
              <w:rPr>
                <w:sz w:val="20"/>
                <w:highlight w:val="yellow"/>
              </w:rPr>
            </w:pPr>
            <w:r w:rsidRPr="00827FA9">
              <w:rPr>
                <w:sz w:val="20"/>
                <w:highlight w:val="yellow"/>
              </w:rPr>
              <w:t>3</w:t>
            </w:r>
          </w:p>
        </w:tc>
        <w:tc>
          <w:tcPr>
            <w:tcW w:w="1269" w:type="dxa"/>
          </w:tcPr>
          <w:p w14:paraId="43A412F4" w14:textId="77777777" w:rsidR="005C736B" w:rsidRPr="00827FA9" w:rsidRDefault="005C736B" w:rsidP="005C736B">
            <w:pPr>
              <w:rPr>
                <w:sz w:val="20"/>
                <w:highlight w:val="yellow"/>
              </w:rPr>
            </w:pPr>
            <w:r w:rsidRPr="00827FA9">
              <w:rPr>
                <w:sz w:val="20"/>
                <w:highlight w:val="yellow"/>
              </w:rPr>
              <w:t>4.</w:t>
            </w:r>
          </w:p>
        </w:tc>
        <w:tc>
          <w:tcPr>
            <w:tcW w:w="994" w:type="dxa"/>
          </w:tcPr>
          <w:p w14:paraId="0877EE6A" w14:textId="77777777" w:rsidR="005C736B" w:rsidRPr="00827FA9" w:rsidRDefault="005C736B" w:rsidP="005C736B">
            <w:pPr>
              <w:rPr>
                <w:sz w:val="20"/>
                <w:highlight w:val="yellow"/>
              </w:rPr>
            </w:pPr>
            <w:r w:rsidRPr="00827FA9">
              <w:rPr>
                <w:sz w:val="20"/>
                <w:highlight w:val="yellow"/>
              </w:rPr>
              <w:t>OPEN</w:t>
            </w:r>
          </w:p>
        </w:tc>
        <w:tc>
          <w:tcPr>
            <w:tcW w:w="2144" w:type="dxa"/>
          </w:tcPr>
          <w:p w14:paraId="7C020ED4" w14:textId="77777777" w:rsidR="005C736B" w:rsidRPr="00827FA9" w:rsidRDefault="005C736B" w:rsidP="005C736B">
            <w:pPr>
              <w:rPr>
                <w:sz w:val="20"/>
                <w:highlight w:val="yellow"/>
              </w:rPr>
            </w:pPr>
            <w:r w:rsidRPr="00827FA9">
              <w:rPr>
                <w:sz w:val="20"/>
                <w:highlight w:val="yellow"/>
              </w:rPr>
              <w:t>EMI SLA Manager</w:t>
            </w:r>
          </w:p>
        </w:tc>
        <w:tc>
          <w:tcPr>
            <w:tcW w:w="4216" w:type="dxa"/>
          </w:tcPr>
          <w:p w14:paraId="75FFCF4D" w14:textId="77777777" w:rsidR="005C736B" w:rsidRPr="00AE6ED9" w:rsidRDefault="005C736B" w:rsidP="005C736B">
            <w:pPr>
              <w:rPr>
                <w:sz w:val="20"/>
              </w:rPr>
            </w:pPr>
            <w:r w:rsidRPr="00827FA9">
              <w:rPr>
                <w:sz w:val="20"/>
                <w:highlight w:val="yellow"/>
              </w:rPr>
              <w:t>Should be a named contact (see EMI draft section 11)</w:t>
            </w:r>
          </w:p>
        </w:tc>
      </w:tr>
      <w:tr w:rsidR="005C736B" w:rsidRPr="00AE6ED9" w14:paraId="40E1045F" w14:textId="77777777" w:rsidTr="005C736B">
        <w:tc>
          <w:tcPr>
            <w:tcW w:w="657" w:type="dxa"/>
          </w:tcPr>
          <w:p w14:paraId="099C3F4E" w14:textId="77777777" w:rsidR="005C736B" w:rsidRPr="005C736B" w:rsidRDefault="005C736B" w:rsidP="005C736B">
            <w:pPr>
              <w:rPr>
                <w:sz w:val="20"/>
                <w:highlight w:val="red"/>
              </w:rPr>
            </w:pPr>
            <w:r w:rsidRPr="005C736B">
              <w:rPr>
                <w:sz w:val="20"/>
                <w:highlight w:val="red"/>
              </w:rPr>
              <w:t>4</w:t>
            </w:r>
          </w:p>
        </w:tc>
        <w:tc>
          <w:tcPr>
            <w:tcW w:w="1269" w:type="dxa"/>
          </w:tcPr>
          <w:p w14:paraId="4A355366" w14:textId="77777777" w:rsidR="005C736B" w:rsidRPr="005C736B" w:rsidRDefault="005C736B" w:rsidP="005C736B">
            <w:pPr>
              <w:rPr>
                <w:sz w:val="20"/>
                <w:highlight w:val="red"/>
              </w:rPr>
            </w:pPr>
            <w:r w:rsidRPr="005C736B">
              <w:rPr>
                <w:sz w:val="20"/>
                <w:highlight w:val="red"/>
              </w:rPr>
              <w:t>5.1, 5.4</w:t>
            </w:r>
          </w:p>
        </w:tc>
        <w:tc>
          <w:tcPr>
            <w:tcW w:w="994" w:type="dxa"/>
          </w:tcPr>
          <w:p w14:paraId="7ACD5581" w14:textId="77777777" w:rsidR="005C736B" w:rsidRPr="005C736B" w:rsidRDefault="005C736B" w:rsidP="005C736B">
            <w:pPr>
              <w:rPr>
                <w:sz w:val="20"/>
                <w:highlight w:val="red"/>
              </w:rPr>
            </w:pPr>
            <w:r w:rsidRPr="005C736B">
              <w:rPr>
                <w:sz w:val="20"/>
                <w:highlight w:val="red"/>
              </w:rPr>
              <w:t>OPEN</w:t>
            </w:r>
          </w:p>
        </w:tc>
        <w:tc>
          <w:tcPr>
            <w:tcW w:w="2144" w:type="dxa"/>
          </w:tcPr>
          <w:p w14:paraId="325633D2" w14:textId="77777777" w:rsidR="005C736B" w:rsidRPr="005C736B" w:rsidRDefault="005C736B" w:rsidP="005C736B">
            <w:pPr>
              <w:rPr>
                <w:sz w:val="20"/>
                <w:highlight w:val="red"/>
              </w:rPr>
            </w:pPr>
            <w:r w:rsidRPr="005C736B">
              <w:rPr>
                <w:sz w:val="20"/>
                <w:highlight w:val="red"/>
              </w:rPr>
              <w:t>EMI Support Plan not found</w:t>
            </w:r>
          </w:p>
        </w:tc>
        <w:tc>
          <w:tcPr>
            <w:tcW w:w="4216" w:type="dxa"/>
          </w:tcPr>
          <w:p w14:paraId="300EBFCE" w14:textId="77777777" w:rsidR="005C736B" w:rsidRPr="00AE6ED9" w:rsidRDefault="005C736B" w:rsidP="005C736B">
            <w:pPr>
              <w:rPr>
                <w:sz w:val="20"/>
              </w:rPr>
            </w:pPr>
            <w:r w:rsidRPr="005C736B">
              <w:rPr>
                <w:sz w:val="20"/>
                <w:highlight w:val="red"/>
              </w:rPr>
              <w:t>The referenced EMI Support Plan cannot be found on the EMI web. Without this, a final review and acceptance is not possible.</w:t>
            </w:r>
          </w:p>
        </w:tc>
      </w:tr>
      <w:tr w:rsidR="005C736B" w:rsidRPr="00AE6ED9" w14:paraId="1EF6DC1B" w14:textId="77777777" w:rsidTr="005C736B">
        <w:tc>
          <w:tcPr>
            <w:tcW w:w="657" w:type="dxa"/>
          </w:tcPr>
          <w:p w14:paraId="137195BE" w14:textId="77777777" w:rsidR="005C736B" w:rsidRPr="005C736B" w:rsidRDefault="005C736B" w:rsidP="005C736B">
            <w:pPr>
              <w:rPr>
                <w:sz w:val="20"/>
                <w:highlight w:val="yellow"/>
              </w:rPr>
            </w:pPr>
            <w:r w:rsidRPr="005C736B">
              <w:rPr>
                <w:sz w:val="20"/>
                <w:highlight w:val="yellow"/>
              </w:rPr>
              <w:t>5</w:t>
            </w:r>
          </w:p>
        </w:tc>
        <w:tc>
          <w:tcPr>
            <w:tcW w:w="1269" w:type="dxa"/>
          </w:tcPr>
          <w:p w14:paraId="078A5CB7" w14:textId="77777777" w:rsidR="005C736B" w:rsidRPr="005C736B" w:rsidRDefault="005C736B" w:rsidP="005C736B">
            <w:pPr>
              <w:rPr>
                <w:sz w:val="20"/>
                <w:highlight w:val="yellow"/>
              </w:rPr>
            </w:pPr>
            <w:r w:rsidRPr="005C736B">
              <w:rPr>
                <w:sz w:val="20"/>
                <w:highlight w:val="yellow"/>
              </w:rPr>
              <w:t>5.2.1</w:t>
            </w:r>
          </w:p>
        </w:tc>
        <w:tc>
          <w:tcPr>
            <w:tcW w:w="994" w:type="dxa"/>
          </w:tcPr>
          <w:p w14:paraId="62137EEB" w14:textId="77777777" w:rsidR="005C736B" w:rsidRPr="005C736B" w:rsidRDefault="005C736B" w:rsidP="005C736B">
            <w:pPr>
              <w:rPr>
                <w:sz w:val="20"/>
                <w:highlight w:val="yellow"/>
              </w:rPr>
            </w:pPr>
            <w:r w:rsidRPr="005C736B">
              <w:rPr>
                <w:sz w:val="20"/>
                <w:highlight w:val="yellow"/>
              </w:rPr>
              <w:t>OPEN</w:t>
            </w:r>
          </w:p>
        </w:tc>
        <w:tc>
          <w:tcPr>
            <w:tcW w:w="2144" w:type="dxa"/>
          </w:tcPr>
          <w:p w14:paraId="20F8DE2E" w14:textId="77777777" w:rsidR="005C736B" w:rsidRPr="005C736B" w:rsidRDefault="005C736B" w:rsidP="005C736B">
            <w:pPr>
              <w:rPr>
                <w:sz w:val="20"/>
                <w:highlight w:val="yellow"/>
              </w:rPr>
            </w:pPr>
            <w:r w:rsidRPr="005C736B">
              <w:rPr>
                <w:sz w:val="20"/>
                <w:highlight w:val="yellow"/>
              </w:rPr>
              <w:t>Fully trained staff</w:t>
            </w:r>
          </w:p>
        </w:tc>
        <w:tc>
          <w:tcPr>
            <w:tcW w:w="4216" w:type="dxa"/>
          </w:tcPr>
          <w:p w14:paraId="06705844" w14:textId="77777777" w:rsidR="005C736B" w:rsidRPr="00AE6ED9" w:rsidRDefault="005C736B" w:rsidP="005C736B">
            <w:pPr>
              <w:rPr>
                <w:sz w:val="20"/>
              </w:rPr>
            </w:pPr>
            <w:r w:rsidRPr="005C736B">
              <w:rPr>
                <w:sz w:val="20"/>
                <w:highlight w:val="yellow"/>
              </w:rPr>
              <w:t>Definition of “fully trained”? Does EMI offer certification and training to satisfy this requirement?</w:t>
            </w:r>
          </w:p>
        </w:tc>
      </w:tr>
      <w:tr w:rsidR="005C736B" w:rsidRPr="00AE6ED9" w14:paraId="5682C21A" w14:textId="77777777" w:rsidTr="005C736B">
        <w:tc>
          <w:tcPr>
            <w:tcW w:w="657" w:type="dxa"/>
          </w:tcPr>
          <w:p w14:paraId="189F960A" w14:textId="77777777" w:rsidR="005C736B" w:rsidRPr="005C736B" w:rsidRDefault="005C736B" w:rsidP="005C736B">
            <w:pPr>
              <w:rPr>
                <w:sz w:val="20"/>
                <w:highlight w:val="green"/>
              </w:rPr>
            </w:pPr>
            <w:r w:rsidRPr="005C736B">
              <w:rPr>
                <w:sz w:val="20"/>
                <w:highlight w:val="green"/>
              </w:rPr>
              <w:t>7</w:t>
            </w:r>
          </w:p>
        </w:tc>
        <w:tc>
          <w:tcPr>
            <w:tcW w:w="1269" w:type="dxa"/>
          </w:tcPr>
          <w:p w14:paraId="3D4BC7F6" w14:textId="77777777" w:rsidR="005C736B" w:rsidRPr="005C736B" w:rsidRDefault="005C736B" w:rsidP="005C736B">
            <w:pPr>
              <w:rPr>
                <w:sz w:val="20"/>
                <w:highlight w:val="green"/>
              </w:rPr>
            </w:pPr>
            <w:r w:rsidRPr="005C736B">
              <w:rPr>
                <w:sz w:val="20"/>
                <w:highlight w:val="green"/>
              </w:rPr>
              <w:t>5.2.6 (a), (b)</w:t>
            </w:r>
          </w:p>
        </w:tc>
        <w:tc>
          <w:tcPr>
            <w:tcW w:w="994" w:type="dxa"/>
          </w:tcPr>
          <w:p w14:paraId="1F430967" w14:textId="77777777" w:rsidR="005C736B" w:rsidRPr="005C736B" w:rsidRDefault="005C736B" w:rsidP="005C736B">
            <w:pPr>
              <w:rPr>
                <w:sz w:val="20"/>
                <w:highlight w:val="green"/>
              </w:rPr>
            </w:pPr>
            <w:r w:rsidRPr="005C736B">
              <w:rPr>
                <w:sz w:val="20"/>
                <w:highlight w:val="green"/>
              </w:rPr>
              <w:t>OPEN</w:t>
            </w:r>
          </w:p>
        </w:tc>
        <w:tc>
          <w:tcPr>
            <w:tcW w:w="2144" w:type="dxa"/>
          </w:tcPr>
          <w:p w14:paraId="69CC7082" w14:textId="77777777" w:rsidR="005C736B" w:rsidRPr="005C736B" w:rsidRDefault="005C736B" w:rsidP="005C736B">
            <w:pPr>
              <w:rPr>
                <w:sz w:val="20"/>
                <w:highlight w:val="green"/>
              </w:rPr>
            </w:pPr>
            <w:r w:rsidRPr="005C736B">
              <w:rPr>
                <w:sz w:val="20"/>
                <w:highlight w:val="green"/>
              </w:rPr>
              <w:t>Update notification</w:t>
            </w:r>
          </w:p>
        </w:tc>
        <w:tc>
          <w:tcPr>
            <w:tcW w:w="4216" w:type="dxa"/>
          </w:tcPr>
          <w:p w14:paraId="63051EFD" w14:textId="77777777" w:rsidR="005C736B" w:rsidRPr="00AE6ED9" w:rsidRDefault="005C736B" w:rsidP="005C736B">
            <w:pPr>
              <w:rPr>
                <w:sz w:val="20"/>
              </w:rPr>
            </w:pPr>
            <w:r w:rsidRPr="005C736B">
              <w:rPr>
                <w:sz w:val="20"/>
                <w:highlight w:val="green"/>
              </w:rPr>
              <w:t>There is no explicit mechanism defined in the SLA as to how the notification of available updates takes place. EGI wishes to explicitly include the GGUS ticket based notification mechanism in the SLA.</w:t>
            </w:r>
          </w:p>
        </w:tc>
      </w:tr>
      <w:tr w:rsidR="005C736B" w:rsidRPr="000E2C06" w14:paraId="41322E9A" w14:textId="77777777" w:rsidTr="005C736B">
        <w:tc>
          <w:tcPr>
            <w:tcW w:w="657" w:type="dxa"/>
          </w:tcPr>
          <w:p w14:paraId="715D3263" w14:textId="77777777" w:rsidR="005C736B" w:rsidRPr="000E2C06" w:rsidRDefault="005C736B" w:rsidP="005C736B">
            <w:pPr>
              <w:rPr>
                <w:sz w:val="20"/>
                <w:highlight w:val="yellow"/>
              </w:rPr>
            </w:pPr>
            <w:r w:rsidRPr="000E2C06">
              <w:rPr>
                <w:sz w:val="20"/>
                <w:highlight w:val="yellow"/>
              </w:rPr>
              <w:t>8</w:t>
            </w:r>
          </w:p>
        </w:tc>
        <w:tc>
          <w:tcPr>
            <w:tcW w:w="1269" w:type="dxa"/>
          </w:tcPr>
          <w:p w14:paraId="1F630317" w14:textId="77777777" w:rsidR="005C736B" w:rsidRPr="000E2C06" w:rsidRDefault="005C736B" w:rsidP="005C736B">
            <w:pPr>
              <w:rPr>
                <w:sz w:val="20"/>
                <w:highlight w:val="yellow"/>
              </w:rPr>
            </w:pPr>
            <w:r w:rsidRPr="000E2C06">
              <w:rPr>
                <w:sz w:val="20"/>
                <w:highlight w:val="yellow"/>
              </w:rPr>
              <w:t>5.2.6</w:t>
            </w:r>
          </w:p>
        </w:tc>
        <w:tc>
          <w:tcPr>
            <w:tcW w:w="994" w:type="dxa"/>
          </w:tcPr>
          <w:p w14:paraId="347A5E66" w14:textId="77777777" w:rsidR="005C736B" w:rsidRPr="000E2C06" w:rsidRDefault="005C736B" w:rsidP="005C736B">
            <w:pPr>
              <w:rPr>
                <w:sz w:val="20"/>
                <w:highlight w:val="yellow"/>
              </w:rPr>
            </w:pPr>
            <w:r w:rsidRPr="000E2C06">
              <w:rPr>
                <w:sz w:val="20"/>
                <w:highlight w:val="yellow"/>
              </w:rPr>
              <w:t>OPEN</w:t>
            </w:r>
          </w:p>
        </w:tc>
        <w:tc>
          <w:tcPr>
            <w:tcW w:w="2144" w:type="dxa"/>
          </w:tcPr>
          <w:p w14:paraId="55844F1D" w14:textId="77777777" w:rsidR="005C736B" w:rsidRPr="000E2C06" w:rsidRDefault="005C736B" w:rsidP="005C736B">
            <w:pPr>
              <w:rPr>
                <w:sz w:val="20"/>
                <w:highlight w:val="yellow"/>
              </w:rPr>
            </w:pPr>
            <w:r w:rsidRPr="000E2C06">
              <w:rPr>
                <w:sz w:val="20"/>
                <w:highlight w:val="yellow"/>
              </w:rPr>
              <w:t>Definition of terms</w:t>
            </w:r>
          </w:p>
        </w:tc>
        <w:tc>
          <w:tcPr>
            <w:tcW w:w="4216" w:type="dxa"/>
          </w:tcPr>
          <w:p w14:paraId="4FDBE021" w14:textId="77777777" w:rsidR="005C736B" w:rsidRPr="000E2C06" w:rsidRDefault="005C736B" w:rsidP="005C736B">
            <w:pPr>
              <w:rPr>
                <w:sz w:val="20"/>
                <w:highlight w:val="yellow"/>
              </w:rPr>
            </w:pPr>
            <w:r w:rsidRPr="000E2C06">
              <w:rPr>
                <w:sz w:val="20"/>
                <w:highlight w:val="yellow"/>
              </w:rPr>
              <w:t>What is EMI’s exact definition of “regularly”, and “timely”?</w:t>
            </w:r>
          </w:p>
        </w:tc>
      </w:tr>
      <w:tr w:rsidR="005C736B" w:rsidRPr="00AE6ED9" w14:paraId="4C7955AA" w14:textId="77777777" w:rsidTr="005C736B">
        <w:tc>
          <w:tcPr>
            <w:tcW w:w="657" w:type="dxa"/>
          </w:tcPr>
          <w:p w14:paraId="3D3290E7" w14:textId="77777777" w:rsidR="005C736B" w:rsidRPr="000E2C06" w:rsidRDefault="005C736B" w:rsidP="005C736B">
            <w:pPr>
              <w:rPr>
                <w:sz w:val="20"/>
                <w:highlight w:val="yellow"/>
              </w:rPr>
            </w:pPr>
            <w:r w:rsidRPr="000E2C06">
              <w:rPr>
                <w:sz w:val="20"/>
                <w:highlight w:val="yellow"/>
              </w:rPr>
              <w:t>9</w:t>
            </w:r>
          </w:p>
        </w:tc>
        <w:tc>
          <w:tcPr>
            <w:tcW w:w="1269" w:type="dxa"/>
          </w:tcPr>
          <w:p w14:paraId="57EDC848" w14:textId="77777777" w:rsidR="005C736B" w:rsidRPr="000E2C06" w:rsidRDefault="005C736B" w:rsidP="005C736B">
            <w:pPr>
              <w:rPr>
                <w:sz w:val="20"/>
                <w:highlight w:val="yellow"/>
              </w:rPr>
            </w:pPr>
            <w:r w:rsidRPr="000E2C06">
              <w:rPr>
                <w:sz w:val="20"/>
                <w:highlight w:val="yellow"/>
              </w:rPr>
              <w:t>5.2.6 (c)</w:t>
            </w:r>
          </w:p>
        </w:tc>
        <w:tc>
          <w:tcPr>
            <w:tcW w:w="994" w:type="dxa"/>
          </w:tcPr>
          <w:p w14:paraId="58294E3E" w14:textId="77777777" w:rsidR="005C736B" w:rsidRPr="000E2C06" w:rsidRDefault="005C736B" w:rsidP="005C736B">
            <w:pPr>
              <w:rPr>
                <w:sz w:val="20"/>
                <w:highlight w:val="yellow"/>
              </w:rPr>
            </w:pPr>
            <w:r w:rsidRPr="000E2C06">
              <w:rPr>
                <w:sz w:val="20"/>
                <w:highlight w:val="yellow"/>
              </w:rPr>
              <w:t>OPEN</w:t>
            </w:r>
          </w:p>
        </w:tc>
        <w:tc>
          <w:tcPr>
            <w:tcW w:w="2144" w:type="dxa"/>
          </w:tcPr>
          <w:p w14:paraId="43AB836E" w14:textId="77777777" w:rsidR="005C736B" w:rsidRPr="000E2C06" w:rsidRDefault="005C736B" w:rsidP="005C736B">
            <w:pPr>
              <w:rPr>
                <w:sz w:val="20"/>
                <w:highlight w:val="yellow"/>
              </w:rPr>
            </w:pPr>
            <w:r w:rsidRPr="000E2C06">
              <w:rPr>
                <w:sz w:val="20"/>
                <w:highlight w:val="yellow"/>
              </w:rPr>
              <w:t>Recommended configuration parameters</w:t>
            </w:r>
          </w:p>
        </w:tc>
        <w:tc>
          <w:tcPr>
            <w:tcW w:w="4216" w:type="dxa"/>
          </w:tcPr>
          <w:p w14:paraId="25DDE3CF" w14:textId="77777777" w:rsidR="005C736B" w:rsidRDefault="005C736B" w:rsidP="005C736B">
            <w:pPr>
              <w:rPr>
                <w:sz w:val="20"/>
              </w:rPr>
            </w:pPr>
            <w:r w:rsidRPr="000E2C06">
              <w:rPr>
                <w:sz w:val="20"/>
                <w:highlight w:val="yellow"/>
              </w:rPr>
              <w:t>Does this cover Best Practice documents that are currently prepared under the lead of the DMSU?</w:t>
            </w:r>
          </w:p>
        </w:tc>
      </w:tr>
      <w:tr w:rsidR="005C736B" w:rsidRPr="00AE6ED9" w14:paraId="5BE9BEA2" w14:textId="77777777" w:rsidTr="005C736B">
        <w:tc>
          <w:tcPr>
            <w:tcW w:w="657" w:type="dxa"/>
          </w:tcPr>
          <w:p w14:paraId="017ADE2D" w14:textId="77777777" w:rsidR="005C736B" w:rsidRPr="007A3EDF" w:rsidRDefault="005C736B" w:rsidP="005C736B">
            <w:pPr>
              <w:rPr>
                <w:sz w:val="20"/>
                <w:highlight w:val="green"/>
              </w:rPr>
            </w:pPr>
            <w:r w:rsidRPr="007A3EDF">
              <w:rPr>
                <w:sz w:val="20"/>
                <w:highlight w:val="green"/>
              </w:rPr>
              <w:t>11</w:t>
            </w:r>
          </w:p>
        </w:tc>
        <w:tc>
          <w:tcPr>
            <w:tcW w:w="1269" w:type="dxa"/>
          </w:tcPr>
          <w:p w14:paraId="61AA07DD" w14:textId="77777777" w:rsidR="005C736B" w:rsidRPr="007A3EDF" w:rsidRDefault="005C736B" w:rsidP="005C736B">
            <w:pPr>
              <w:rPr>
                <w:sz w:val="20"/>
                <w:highlight w:val="green"/>
              </w:rPr>
            </w:pPr>
            <w:r w:rsidRPr="007A3EDF">
              <w:rPr>
                <w:sz w:val="20"/>
                <w:highlight w:val="green"/>
              </w:rPr>
              <w:t>5.3.4 (e)</w:t>
            </w:r>
          </w:p>
        </w:tc>
        <w:tc>
          <w:tcPr>
            <w:tcW w:w="994" w:type="dxa"/>
          </w:tcPr>
          <w:p w14:paraId="52FC86DF" w14:textId="77777777" w:rsidR="005C736B" w:rsidRPr="007A3EDF" w:rsidRDefault="005C736B" w:rsidP="005C736B">
            <w:pPr>
              <w:rPr>
                <w:sz w:val="20"/>
                <w:highlight w:val="green"/>
              </w:rPr>
            </w:pPr>
            <w:r w:rsidRPr="007A3EDF">
              <w:rPr>
                <w:sz w:val="20"/>
                <w:highlight w:val="green"/>
              </w:rPr>
              <w:t>OPEN</w:t>
            </w:r>
          </w:p>
        </w:tc>
        <w:tc>
          <w:tcPr>
            <w:tcW w:w="2144" w:type="dxa"/>
          </w:tcPr>
          <w:p w14:paraId="3CCEF94C" w14:textId="77777777" w:rsidR="005C736B" w:rsidRPr="007A3EDF" w:rsidRDefault="005C736B" w:rsidP="005C736B">
            <w:pPr>
              <w:rPr>
                <w:sz w:val="20"/>
                <w:highlight w:val="green"/>
              </w:rPr>
            </w:pPr>
            <w:r w:rsidRPr="007A3EDF">
              <w:rPr>
                <w:sz w:val="20"/>
                <w:highlight w:val="green"/>
              </w:rPr>
              <w:t>Definition of “approved distribution channel”</w:t>
            </w:r>
          </w:p>
        </w:tc>
        <w:tc>
          <w:tcPr>
            <w:tcW w:w="4216" w:type="dxa"/>
          </w:tcPr>
          <w:p w14:paraId="6B3E9BBE" w14:textId="77777777" w:rsidR="005C736B" w:rsidRDefault="005C736B" w:rsidP="005C736B">
            <w:pPr>
              <w:rPr>
                <w:sz w:val="20"/>
              </w:rPr>
            </w:pPr>
            <w:r w:rsidRPr="007A3EDF">
              <w:rPr>
                <w:sz w:val="20"/>
                <w:highlight w:val="green"/>
              </w:rPr>
              <w:t>What exactly is an approved software distribution channel? What are the criteria and approval procedure?</w:t>
            </w:r>
          </w:p>
        </w:tc>
      </w:tr>
      <w:tr w:rsidR="005C736B" w:rsidRPr="00AE6ED9" w14:paraId="02C54EF1" w14:textId="77777777" w:rsidTr="005C736B">
        <w:tc>
          <w:tcPr>
            <w:tcW w:w="657" w:type="dxa"/>
          </w:tcPr>
          <w:p w14:paraId="31433B5F" w14:textId="77777777" w:rsidR="005C736B" w:rsidRPr="002073BD" w:rsidRDefault="005C736B" w:rsidP="005C736B">
            <w:pPr>
              <w:rPr>
                <w:sz w:val="20"/>
                <w:highlight w:val="yellow"/>
              </w:rPr>
            </w:pPr>
            <w:r w:rsidRPr="002073BD">
              <w:rPr>
                <w:sz w:val="20"/>
                <w:highlight w:val="yellow"/>
              </w:rPr>
              <w:t>12</w:t>
            </w:r>
          </w:p>
        </w:tc>
        <w:tc>
          <w:tcPr>
            <w:tcW w:w="1269" w:type="dxa"/>
          </w:tcPr>
          <w:p w14:paraId="7B498246" w14:textId="77777777" w:rsidR="005C736B" w:rsidRPr="002073BD" w:rsidRDefault="005C736B" w:rsidP="005C736B">
            <w:pPr>
              <w:rPr>
                <w:sz w:val="20"/>
                <w:highlight w:val="yellow"/>
              </w:rPr>
            </w:pPr>
            <w:r w:rsidRPr="002073BD">
              <w:rPr>
                <w:sz w:val="20"/>
                <w:highlight w:val="yellow"/>
              </w:rPr>
              <w:t>5.4 paragraph 3</w:t>
            </w:r>
          </w:p>
        </w:tc>
        <w:tc>
          <w:tcPr>
            <w:tcW w:w="994" w:type="dxa"/>
          </w:tcPr>
          <w:p w14:paraId="4E17C4AB" w14:textId="77777777" w:rsidR="005C736B" w:rsidRPr="002073BD" w:rsidRDefault="005C736B" w:rsidP="005C736B">
            <w:pPr>
              <w:rPr>
                <w:sz w:val="20"/>
                <w:highlight w:val="yellow"/>
              </w:rPr>
            </w:pPr>
            <w:r w:rsidRPr="002073BD">
              <w:rPr>
                <w:sz w:val="20"/>
                <w:highlight w:val="yellow"/>
              </w:rPr>
              <w:t>OPEN</w:t>
            </w:r>
          </w:p>
        </w:tc>
        <w:tc>
          <w:tcPr>
            <w:tcW w:w="2144" w:type="dxa"/>
          </w:tcPr>
          <w:p w14:paraId="00E0BD1A" w14:textId="77777777" w:rsidR="005C736B" w:rsidRPr="002073BD" w:rsidRDefault="005C736B" w:rsidP="005C736B">
            <w:pPr>
              <w:rPr>
                <w:sz w:val="20"/>
                <w:highlight w:val="yellow"/>
              </w:rPr>
            </w:pPr>
            <w:r w:rsidRPr="002073BD">
              <w:rPr>
                <w:sz w:val="20"/>
                <w:highlight w:val="yellow"/>
              </w:rPr>
              <w:t>Problem Management</w:t>
            </w:r>
          </w:p>
        </w:tc>
        <w:tc>
          <w:tcPr>
            <w:tcW w:w="4216" w:type="dxa"/>
          </w:tcPr>
          <w:p w14:paraId="48C32DEA" w14:textId="77777777" w:rsidR="005C736B" w:rsidRDefault="005C736B" w:rsidP="005C736B">
            <w:pPr>
              <w:rPr>
                <w:sz w:val="20"/>
              </w:rPr>
            </w:pPr>
            <w:r w:rsidRPr="002073BD">
              <w:rPr>
                <w:sz w:val="20"/>
                <w:highlight w:val="yellow"/>
              </w:rPr>
              <w:t>An explicit link and synchronisation between this EMI defect tracking system, and the GGUS SUs is missing.</w:t>
            </w:r>
          </w:p>
        </w:tc>
      </w:tr>
      <w:tr w:rsidR="005C736B" w:rsidRPr="00AE6ED9" w14:paraId="440AAD3D" w14:textId="77777777" w:rsidTr="005C736B">
        <w:tc>
          <w:tcPr>
            <w:tcW w:w="657" w:type="dxa"/>
          </w:tcPr>
          <w:p w14:paraId="08E7CBBE" w14:textId="77777777" w:rsidR="005C736B" w:rsidRPr="007312D3" w:rsidRDefault="005C736B" w:rsidP="005C736B">
            <w:pPr>
              <w:rPr>
                <w:sz w:val="20"/>
                <w:highlight w:val="green"/>
              </w:rPr>
            </w:pPr>
            <w:commentRangeStart w:id="5"/>
            <w:r w:rsidRPr="007312D3">
              <w:rPr>
                <w:sz w:val="20"/>
                <w:highlight w:val="green"/>
              </w:rPr>
              <w:t>14</w:t>
            </w:r>
          </w:p>
        </w:tc>
        <w:tc>
          <w:tcPr>
            <w:tcW w:w="1269" w:type="dxa"/>
          </w:tcPr>
          <w:p w14:paraId="3F7FF77D" w14:textId="77777777" w:rsidR="005C736B" w:rsidRPr="007312D3" w:rsidRDefault="005C736B" w:rsidP="005C736B">
            <w:pPr>
              <w:rPr>
                <w:sz w:val="20"/>
                <w:highlight w:val="green"/>
              </w:rPr>
            </w:pPr>
            <w:proofErr w:type="gramStart"/>
            <w:r w:rsidRPr="007312D3">
              <w:rPr>
                <w:sz w:val="20"/>
                <w:highlight w:val="green"/>
              </w:rPr>
              <w:t>n</w:t>
            </w:r>
            <w:proofErr w:type="gramEnd"/>
            <w:r w:rsidRPr="007312D3">
              <w:rPr>
                <w:sz w:val="20"/>
                <w:highlight w:val="green"/>
              </w:rPr>
              <w:t>/a</w:t>
            </w:r>
          </w:p>
        </w:tc>
        <w:tc>
          <w:tcPr>
            <w:tcW w:w="994" w:type="dxa"/>
          </w:tcPr>
          <w:p w14:paraId="2B464A7B" w14:textId="77777777" w:rsidR="005C736B" w:rsidRPr="007312D3" w:rsidRDefault="005C736B" w:rsidP="005C736B">
            <w:pPr>
              <w:rPr>
                <w:sz w:val="20"/>
                <w:highlight w:val="green"/>
              </w:rPr>
            </w:pPr>
            <w:r w:rsidRPr="007312D3">
              <w:rPr>
                <w:sz w:val="20"/>
                <w:highlight w:val="green"/>
              </w:rPr>
              <w:t>OPEN</w:t>
            </w:r>
          </w:p>
        </w:tc>
        <w:tc>
          <w:tcPr>
            <w:tcW w:w="2144" w:type="dxa"/>
          </w:tcPr>
          <w:p w14:paraId="42A422E1" w14:textId="77777777" w:rsidR="005C736B" w:rsidRPr="007312D3" w:rsidRDefault="005C736B" w:rsidP="005C736B">
            <w:pPr>
              <w:rPr>
                <w:sz w:val="20"/>
                <w:highlight w:val="green"/>
              </w:rPr>
            </w:pPr>
            <w:r w:rsidRPr="007312D3">
              <w:rPr>
                <w:sz w:val="20"/>
                <w:highlight w:val="green"/>
              </w:rPr>
              <w:t>DMSU involvement</w:t>
            </w:r>
          </w:p>
        </w:tc>
        <w:tc>
          <w:tcPr>
            <w:tcW w:w="4216" w:type="dxa"/>
          </w:tcPr>
          <w:p w14:paraId="2DDAF58B" w14:textId="77777777" w:rsidR="005C736B" w:rsidRDefault="005C736B" w:rsidP="005C736B">
            <w:pPr>
              <w:rPr>
                <w:sz w:val="20"/>
              </w:rPr>
            </w:pPr>
            <w:r w:rsidRPr="007312D3">
              <w:rPr>
                <w:sz w:val="20"/>
                <w:highlight w:val="green"/>
              </w:rPr>
              <w:t>There is no clear commitment in engaging with DMSU other than tickets in EMI Service Desk (i.e. EMI 3</w:t>
            </w:r>
            <w:r w:rsidRPr="007312D3">
              <w:rPr>
                <w:sz w:val="20"/>
                <w:highlight w:val="green"/>
                <w:vertAlign w:val="superscript"/>
              </w:rPr>
              <w:t>rd</w:t>
            </w:r>
            <w:r w:rsidRPr="007312D3">
              <w:rPr>
                <w:sz w:val="20"/>
                <w:highlight w:val="green"/>
              </w:rPr>
              <w:t xml:space="preserve"> party GGUS SUs). DMSU requires technical experts involved in assessing the problem severity.</w:t>
            </w:r>
          </w:p>
        </w:tc>
      </w:tr>
      <w:tr w:rsidR="005C736B" w:rsidRPr="00AE6ED9" w14:paraId="28BD0352" w14:textId="77777777" w:rsidTr="005C736B">
        <w:tc>
          <w:tcPr>
            <w:tcW w:w="657" w:type="dxa"/>
          </w:tcPr>
          <w:p w14:paraId="68A4CB88" w14:textId="77777777" w:rsidR="005C736B" w:rsidRPr="00782DBB" w:rsidRDefault="005C736B" w:rsidP="005C736B">
            <w:pPr>
              <w:rPr>
                <w:sz w:val="20"/>
                <w:highlight w:val="green"/>
              </w:rPr>
            </w:pPr>
            <w:r w:rsidRPr="00782DBB">
              <w:rPr>
                <w:sz w:val="20"/>
                <w:highlight w:val="green"/>
              </w:rPr>
              <w:lastRenderedPageBreak/>
              <w:t>15</w:t>
            </w:r>
          </w:p>
        </w:tc>
        <w:tc>
          <w:tcPr>
            <w:tcW w:w="1269" w:type="dxa"/>
          </w:tcPr>
          <w:p w14:paraId="15212076" w14:textId="77777777" w:rsidR="005C736B" w:rsidRPr="00782DBB" w:rsidRDefault="005C736B" w:rsidP="005C736B">
            <w:pPr>
              <w:rPr>
                <w:sz w:val="20"/>
                <w:highlight w:val="green"/>
              </w:rPr>
            </w:pPr>
            <w:proofErr w:type="gramStart"/>
            <w:r w:rsidRPr="00782DBB">
              <w:rPr>
                <w:sz w:val="20"/>
                <w:highlight w:val="green"/>
              </w:rPr>
              <w:t>n</w:t>
            </w:r>
            <w:proofErr w:type="gramEnd"/>
            <w:r w:rsidRPr="00782DBB">
              <w:rPr>
                <w:sz w:val="20"/>
                <w:highlight w:val="green"/>
              </w:rPr>
              <w:t>/a</w:t>
            </w:r>
          </w:p>
        </w:tc>
        <w:tc>
          <w:tcPr>
            <w:tcW w:w="994" w:type="dxa"/>
          </w:tcPr>
          <w:p w14:paraId="32E7129A" w14:textId="77777777" w:rsidR="005C736B" w:rsidRPr="00782DBB" w:rsidRDefault="005C736B" w:rsidP="005C736B">
            <w:pPr>
              <w:rPr>
                <w:sz w:val="20"/>
                <w:highlight w:val="green"/>
              </w:rPr>
            </w:pPr>
            <w:r w:rsidRPr="00782DBB">
              <w:rPr>
                <w:sz w:val="20"/>
                <w:highlight w:val="green"/>
              </w:rPr>
              <w:t>OPEN</w:t>
            </w:r>
          </w:p>
        </w:tc>
        <w:tc>
          <w:tcPr>
            <w:tcW w:w="2144" w:type="dxa"/>
          </w:tcPr>
          <w:p w14:paraId="65C17F93" w14:textId="77777777" w:rsidR="005C736B" w:rsidRPr="00782DBB" w:rsidRDefault="005C736B" w:rsidP="005C736B">
            <w:pPr>
              <w:rPr>
                <w:sz w:val="20"/>
                <w:highlight w:val="green"/>
              </w:rPr>
            </w:pPr>
            <w:r w:rsidRPr="00782DBB">
              <w:rPr>
                <w:sz w:val="20"/>
                <w:highlight w:val="green"/>
              </w:rPr>
              <w:t>SVG/RAT involvement</w:t>
            </w:r>
          </w:p>
        </w:tc>
        <w:tc>
          <w:tcPr>
            <w:tcW w:w="4216" w:type="dxa"/>
          </w:tcPr>
          <w:p w14:paraId="4B481E3E" w14:textId="77777777" w:rsidR="005C736B" w:rsidRDefault="005C736B" w:rsidP="005C736B">
            <w:pPr>
              <w:rPr>
                <w:sz w:val="20"/>
              </w:rPr>
            </w:pPr>
            <w:r w:rsidRPr="00782DBB">
              <w:rPr>
                <w:sz w:val="20"/>
                <w:highlight w:val="green"/>
              </w:rPr>
              <w:t>There is no clear commitment in engaging with SVG’s RAT other than tickets. RAT requires active technical engagement to assess the security threat of the discussed vulnerability.</w:t>
            </w:r>
            <w:commentRangeEnd w:id="5"/>
            <w:r w:rsidR="00BC4073">
              <w:rPr>
                <w:rStyle w:val="CommentReference"/>
                <w:lang w:val="x-none"/>
              </w:rPr>
              <w:commentReference w:id="5"/>
            </w:r>
          </w:p>
        </w:tc>
      </w:tr>
      <w:tr w:rsidR="005C736B" w:rsidRPr="00AE6ED9" w14:paraId="7CF9DDE7" w14:textId="77777777" w:rsidTr="005C736B">
        <w:tc>
          <w:tcPr>
            <w:tcW w:w="657" w:type="dxa"/>
          </w:tcPr>
          <w:p w14:paraId="76352F9C" w14:textId="77777777" w:rsidR="005C736B" w:rsidRPr="000E2C06" w:rsidRDefault="005C736B" w:rsidP="005C736B">
            <w:pPr>
              <w:rPr>
                <w:sz w:val="20"/>
                <w:highlight w:val="yellow"/>
              </w:rPr>
            </w:pPr>
            <w:r w:rsidRPr="000E2C06">
              <w:rPr>
                <w:sz w:val="20"/>
                <w:highlight w:val="yellow"/>
              </w:rPr>
              <w:t>16</w:t>
            </w:r>
          </w:p>
        </w:tc>
        <w:tc>
          <w:tcPr>
            <w:tcW w:w="1269" w:type="dxa"/>
          </w:tcPr>
          <w:p w14:paraId="7170772B" w14:textId="77777777" w:rsidR="005C736B" w:rsidRPr="000E2C06" w:rsidRDefault="005C736B" w:rsidP="005C736B">
            <w:pPr>
              <w:rPr>
                <w:sz w:val="20"/>
                <w:highlight w:val="yellow"/>
              </w:rPr>
            </w:pPr>
            <w:r w:rsidRPr="000E2C06">
              <w:rPr>
                <w:sz w:val="20"/>
                <w:highlight w:val="yellow"/>
              </w:rPr>
              <w:t>5.2.5</w:t>
            </w:r>
          </w:p>
        </w:tc>
        <w:tc>
          <w:tcPr>
            <w:tcW w:w="994" w:type="dxa"/>
          </w:tcPr>
          <w:p w14:paraId="0298A46F" w14:textId="77777777" w:rsidR="005C736B" w:rsidRPr="000E2C06" w:rsidRDefault="005C736B" w:rsidP="005C736B">
            <w:pPr>
              <w:rPr>
                <w:sz w:val="20"/>
                <w:highlight w:val="yellow"/>
              </w:rPr>
            </w:pPr>
            <w:r w:rsidRPr="000E2C06">
              <w:rPr>
                <w:sz w:val="20"/>
                <w:highlight w:val="yellow"/>
              </w:rPr>
              <w:t>OPEN</w:t>
            </w:r>
          </w:p>
        </w:tc>
        <w:tc>
          <w:tcPr>
            <w:tcW w:w="2144" w:type="dxa"/>
          </w:tcPr>
          <w:p w14:paraId="34E8FAE2" w14:textId="77777777" w:rsidR="005C736B" w:rsidRPr="000E2C06" w:rsidRDefault="005C736B" w:rsidP="005C736B">
            <w:pPr>
              <w:rPr>
                <w:sz w:val="20"/>
                <w:highlight w:val="yellow"/>
              </w:rPr>
            </w:pPr>
            <w:r w:rsidRPr="000E2C06">
              <w:rPr>
                <w:sz w:val="20"/>
                <w:highlight w:val="yellow"/>
              </w:rPr>
              <w:t>Backup procedures</w:t>
            </w:r>
          </w:p>
        </w:tc>
        <w:tc>
          <w:tcPr>
            <w:tcW w:w="4216" w:type="dxa"/>
          </w:tcPr>
          <w:p w14:paraId="68ED91A9" w14:textId="77777777" w:rsidR="005C736B" w:rsidRPr="00844191" w:rsidRDefault="005C736B" w:rsidP="005C736B">
            <w:pPr>
              <w:rPr>
                <w:sz w:val="20"/>
              </w:rPr>
            </w:pPr>
            <w:r w:rsidRPr="000E2C06">
              <w:rPr>
                <w:sz w:val="20"/>
                <w:highlight w:val="yellow"/>
              </w:rPr>
              <w:t>This section does not clarify under which circumstances these backup procedures or systems are needed. It needs to clarify if this is needed just during the troubleshooting session, in which case the requirement is acceptable.</w:t>
            </w:r>
            <w:r w:rsidRPr="000E2C06">
              <w:rPr>
                <w:sz w:val="20"/>
                <w:highlight w:val="yellow"/>
              </w:rPr>
              <w:br/>
              <w:t>On the other hand, a general requirement of this time is not feasible (i.e. we cannot ask any service in production to be fully backed up).</w:t>
            </w:r>
          </w:p>
        </w:tc>
      </w:tr>
      <w:tr w:rsidR="005C736B" w:rsidRPr="00AE6ED9" w14:paraId="284FB70B" w14:textId="77777777" w:rsidTr="005C736B">
        <w:tc>
          <w:tcPr>
            <w:tcW w:w="657" w:type="dxa"/>
          </w:tcPr>
          <w:p w14:paraId="18C2DB22" w14:textId="77777777" w:rsidR="005C736B" w:rsidRPr="000E2C06" w:rsidRDefault="005C736B" w:rsidP="005C736B">
            <w:pPr>
              <w:rPr>
                <w:sz w:val="20"/>
                <w:highlight w:val="yellow"/>
              </w:rPr>
            </w:pPr>
            <w:r w:rsidRPr="000E2C06">
              <w:rPr>
                <w:sz w:val="20"/>
                <w:highlight w:val="yellow"/>
              </w:rPr>
              <w:t>17</w:t>
            </w:r>
          </w:p>
        </w:tc>
        <w:tc>
          <w:tcPr>
            <w:tcW w:w="1269" w:type="dxa"/>
          </w:tcPr>
          <w:p w14:paraId="065D76B4" w14:textId="77777777" w:rsidR="005C736B" w:rsidRPr="000E2C06" w:rsidRDefault="005C736B" w:rsidP="005C736B">
            <w:pPr>
              <w:rPr>
                <w:sz w:val="20"/>
                <w:highlight w:val="yellow"/>
              </w:rPr>
            </w:pPr>
            <w:r w:rsidRPr="000E2C06">
              <w:rPr>
                <w:sz w:val="20"/>
                <w:highlight w:val="yellow"/>
              </w:rPr>
              <w:t>5.2.6 (a)</w:t>
            </w:r>
          </w:p>
        </w:tc>
        <w:tc>
          <w:tcPr>
            <w:tcW w:w="994" w:type="dxa"/>
          </w:tcPr>
          <w:p w14:paraId="4A9F9894" w14:textId="77777777" w:rsidR="005C736B" w:rsidRPr="000E2C06" w:rsidRDefault="005C736B" w:rsidP="005C736B">
            <w:pPr>
              <w:rPr>
                <w:sz w:val="20"/>
                <w:highlight w:val="yellow"/>
              </w:rPr>
            </w:pPr>
            <w:r w:rsidRPr="000E2C06">
              <w:rPr>
                <w:sz w:val="20"/>
                <w:highlight w:val="yellow"/>
              </w:rPr>
              <w:t>OPEN</w:t>
            </w:r>
          </w:p>
        </w:tc>
        <w:tc>
          <w:tcPr>
            <w:tcW w:w="2144" w:type="dxa"/>
          </w:tcPr>
          <w:p w14:paraId="67AD40A7" w14:textId="77777777" w:rsidR="005C736B" w:rsidRPr="000E2C06" w:rsidRDefault="005C736B" w:rsidP="005C736B">
            <w:pPr>
              <w:rPr>
                <w:sz w:val="20"/>
                <w:highlight w:val="yellow"/>
              </w:rPr>
            </w:pPr>
            <w:r w:rsidRPr="000E2C06">
              <w:rPr>
                <w:sz w:val="20"/>
                <w:highlight w:val="yellow"/>
              </w:rPr>
              <w:t>Upgrades and updates</w:t>
            </w:r>
          </w:p>
        </w:tc>
        <w:tc>
          <w:tcPr>
            <w:tcW w:w="4216" w:type="dxa"/>
          </w:tcPr>
          <w:p w14:paraId="7C962D2B" w14:textId="77777777" w:rsidR="005C736B" w:rsidRPr="00844191" w:rsidRDefault="005C736B" w:rsidP="005C736B">
            <w:pPr>
              <w:rPr>
                <w:sz w:val="20"/>
              </w:rPr>
            </w:pPr>
            <w:r w:rsidRPr="000E2C06">
              <w:rPr>
                <w:sz w:val="20"/>
                <w:highlight w:val="yellow"/>
              </w:rPr>
              <w:t xml:space="preserve">We cannot guarantee that </w:t>
            </w:r>
            <w:proofErr w:type="gramStart"/>
            <w:r w:rsidRPr="000E2C06">
              <w:rPr>
                <w:sz w:val="20"/>
                <w:highlight w:val="yellow"/>
              </w:rPr>
              <w:t>ANY software update is applied by a production site</w:t>
            </w:r>
            <w:proofErr w:type="gramEnd"/>
            <w:r w:rsidRPr="000E2C06">
              <w:rPr>
                <w:sz w:val="20"/>
                <w:highlight w:val="yellow"/>
              </w:rPr>
              <w:t xml:space="preserve">. </w:t>
            </w:r>
            <w:r w:rsidRPr="000E2C06">
              <w:rPr>
                <w:sz w:val="20"/>
                <w:highlight w:val="yellow"/>
                <w:lang w:val="en-US" w:eastAsia="en-US"/>
              </w:rPr>
              <w:t xml:space="preserve">For example, if we have </w:t>
            </w:r>
            <w:proofErr w:type="gramStart"/>
            <w:r w:rsidRPr="000E2C06">
              <w:rPr>
                <w:sz w:val="20"/>
                <w:highlight w:val="yellow"/>
                <w:lang w:val="en-US" w:eastAsia="en-US"/>
              </w:rPr>
              <w:t>update</w:t>
            </w:r>
            <w:proofErr w:type="gramEnd"/>
            <w:r w:rsidRPr="000E2C06">
              <w:rPr>
                <w:sz w:val="20"/>
                <w:highlight w:val="yellow"/>
                <w:lang w:val="en-US" w:eastAsia="en-US"/>
              </w:rPr>
              <w:t xml:space="preserve"> A, then B, then C, I don't see why a site can't skip update B and upgrade from A to C (if A is still supported). A site is free to deploy any component that is still supported. And A site is also free to deploy at its own risk a EMI unsupported component that is supported by the NGI, which does not break interoperability, and which has no vulnerability problems. Of course for unsupported EMI software EGI won't ask 3rd line support</w:t>
            </w:r>
          </w:p>
        </w:tc>
      </w:tr>
      <w:tr w:rsidR="005C736B" w:rsidRPr="00AE6ED9" w14:paraId="4F0860FB" w14:textId="77777777" w:rsidTr="005C736B">
        <w:tc>
          <w:tcPr>
            <w:tcW w:w="657" w:type="dxa"/>
          </w:tcPr>
          <w:p w14:paraId="152DF48B" w14:textId="77777777" w:rsidR="005C736B" w:rsidRPr="007A3EDF" w:rsidRDefault="005C736B" w:rsidP="005C736B">
            <w:pPr>
              <w:rPr>
                <w:sz w:val="20"/>
                <w:highlight w:val="red"/>
              </w:rPr>
            </w:pPr>
            <w:r w:rsidRPr="007A3EDF">
              <w:rPr>
                <w:sz w:val="20"/>
                <w:highlight w:val="red"/>
              </w:rPr>
              <w:t>18</w:t>
            </w:r>
          </w:p>
        </w:tc>
        <w:tc>
          <w:tcPr>
            <w:tcW w:w="1269" w:type="dxa"/>
          </w:tcPr>
          <w:p w14:paraId="1F0B4048" w14:textId="77777777" w:rsidR="005C736B" w:rsidRPr="007A3EDF" w:rsidRDefault="005C736B" w:rsidP="005C736B">
            <w:pPr>
              <w:rPr>
                <w:sz w:val="20"/>
                <w:highlight w:val="red"/>
              </w:rPr>
            </w:pPr>
            <w:r w:rsidRPr="007A3EDF">
              <w:rPr>
                <w:sz w:val="20"/>
                <w:highlight w:val="red"/>
              </w:rPr>
              <w:t>5.3.2</w:t>
            </w:r>
          </w:p>
        </w:tc>
        <w:tc>
          <w:tcPr>
            <w:tcW w:w="994" w:type="dxa"/>
          </w:tcPr>
          <w:p w14:paraId="0DADBE16" w14:textId="77777777" w:rsidR="005C736B" w:rsidRPr="007A3EDF" w:rsidRDefault="005C736B" w:rsidP="005C736B">
            <w:pPr>
              <w:rPr>
                <w:sz w:val="20"/>
                <w:highlight w:val="red"/>
              </w:rPr>
            </w:pPr>
            <w:r w:rsidRPr="007A3EDF">
              <w:rPr>
                <w:sz w:val="20"/>
                <w:highlight w:val="red"/>
              </w:rPr>
              <w:t>OPEN</w:t>
            </w:r>
          </w:p>
        </w:tc>
        <w:tc>
          <w:tcPr>
            <w:tcW w:w="2144" w:type="dxa"/>
          </w:tcPr>
          <w:p w14:paraId="5D6200BF" w14:textId="77777777" w:rsidR="005C736B" w:rsidRPr="007A3EDF" w:rsidRDefault="005C736B" w:rsidP="005C736B">
            <w:pPr>
              <w:rPr>
                <w:sz w:val="20"/>
                <w:highlight w:val="red"/>
              </w:rPr>
            </w:pPr>
            <w:r w:rsidRPr="007A3EDF">
              <w:rPr>
                <w:sz w:val="20"/>
                <w:highlight w:val="red"/>
              </w:rPr>
              <w:t>Support Lifecycle</w:t>
            </w:r>
          </w:p>
        </w:tc>
        <w:tc>
          <w:tcPr>
            <w:tcW w:w="4216" w:type="dxa"/>
          </w:tcPr>
          <w:p w14:paraId="13C3866B" w14:textId="77777777" w:rsidR="005C736B" w:rsidRPr="008C19A2" w:rsidRDefault="005C736B" w:rsidP="005C736B">
            <w:pPr>
              <w:rPr>
                <w:sz w:val="20"/>
              </w:rPr>
            </w:pPr>
            <w:r w:rsidRPr="007A3EDF">
              <w:rPr>
                <w:sz w:val="20"/>
                <w:highlight w:val="red"/>
              </w:rPr>
              <w:fldChar w:fldCharType="begin"/>
            </w:r>
            <w:r w:rsidRPr="007A3EDF">
              <w:rPr>
                <w:sz w:val="20"/>
                <w:highlight w:val="red"/>
              </w:rPr>
              <w:instrText xml:space="preserve"> HYPERLINK "http://www.eu-emi.eu/services/lifecycle/support_periods.htm" \t "_blank" </w:instrText>
            </w:r>
            <w:r w:rsidRPr="007A3EDF">
              <w:rPr>
                <w:sz w:val="20"/>
                <w:highlight w:val="red"/>
              </w:rPr>
              <w:fldChar w:fldCharType="separate"/>
            </w:r>
            <w:r w:rsidRPr="007A3EDF">
              <w:rPr>
                <w:rStyle w:val="Hyperlink"/>
                <w:sz w:val="20"/>
                <w:highlight w:val="red"/>
              </w:rPr>
              <w:t>http://www.eu-emi.eu/services/lifecycle/support_periods.htm</w:t>
            </w:r>
            <w:r w:rsidRPr="007A3EDF">
              <w:rPr>
                <w:sz w:val="20"/>
                <w:highlight w:val="red"/>
              </w:rPr>
              <w:fldChar w:fldCharType="end"/>
            </w:r>
            <w:r w:rsidRPr="007A3EDF">
              <w:rPr>
                <w:sz w:val="20"/>
                <w:highlight w:val="red"/>
              </w:rPr>
              <w:t xml:space="preserve"> does not exist</w:t>
            </w:r>
          </w:p>
        </w:tc>
      </w:tr>
      <w:tr w:rsidR="005C736B" w:rsidRPr="00AE6ED9" w14:paraId="4D28E7A1" w14:textId="77777777" w:rsidTr="005C736B">
        <w:tc>
          <w:tcPr>
            <w:tcW w:w="657" w:type="dxa"/>
          </w:tcPr>
          <w:p w14:paraId="0F7D5A2C" w14:textId="77777777" w:rsidR="005C736B" w:rsidRPr="00782DBB" w:rsidRDefault="005C736B" w:rsidP="005C736B">
            <w:pPr>
              <w:rPr>
                <w:sz w:val="20"/>
                <w:highlight w:val="green"/>
              </w:rPr>
            </w:pPr>
            <w:r w:rsidRPr="00782DBB">
              <w:rPr>
                <w:sz w:val="20"/>
                <w:highlight w:val="green"/>
              </w:rPr>
              <w:t>19</w:t>
            </w:r>
          </w:p>
        </w:tc>
        <w:tc>
          <w:tcPr>
            <w:tcW w:w="1269" w:type="dxa"/>
          </w:tcPr>
          <w:p w14:paraId="56F90D6B" w14:textId="77777777" w:rsidR="005C736B" w:rsidRPr="00782DBB" w:rsidRDefault="005C736B" w:rsidP="005C736B">
            <w:pPr>
              <w:rPr>
                <w:sz w:val="20"/>
                <w:highlight w:val="green"/>
              </w:rPr>
            </w:pPr>
            <w:r w:rsidRPr="00782DBB">
              <w:rPr>
                <w:sz w:val="20"/>
                <w:highlight w:val="green"/>
              </w:rPr>
              <w:t>Across doc.</w:t>
            </w:r>
          </w:p>
        </w:tc>
        <w:tc>
          <w:tcPr>
            <w:tcW w:w="994" w:type="dxa"/>
          </w:tcPr>
          <w:p w14:paraId="2B84ADFF" w14:textId="77777777" w:rsidR="005C736B" w:rsidRPr="00782DBB" w:rsidRDefault="005C736B" w:rsidP="005C736B">
            <w:pPr>
              <w:rPr>
                <w:sz w:val="20"/>
                <w:highlight w:val="green"/>
              </w:rPr>
            </w:pPr>
            <w:r w:rsidRPr="00782DBB">
              <w:rPr>
                <w:sz w:val="20"/>
                <w:highlight w:val="green"/>
              </w:rPr>
              <w:t>OPEN</w:t>
            </w:r>
          </w:p>
        </w:tc>
        <w:tc>
          <w:tcPr>
            <w:tcW w:w="2144" w:type="dxa"/>
          </w:tcPr>
          <w:p w14:paraId="1C13C73C" w14:textId="77777777" w:rsidR="005C736B" w:rsidRPr="00782DBB" w:rsidRDefault="005C736B" w:rsidP="005C736B">
            <w:pPr>
              <w:rPr>
                <w:sz w:val="20"/>
                <w:highlight w:val="green"/>
              </w:rPr>
            </w:pPr>
            <w:r w:rsidRPr="00782DBB">
              <w:rPr>
                <w:sz w:val="20"/>
                <w:highlight w:val="green"/>
              </w:rPr>
              <w:t>Definition of terms</w:t>
            </w:r>
          </w:p>
        </w:tc>
        <w:tc>
          <w:tcPr>
            <w:tcW w:w="4216" w:type="dxa"/>
          </w:tcPr>
          <w:p w14:paraId="3DCF1A18" w14:textId="77777777" w:rsidR="005C736B" w:rsidRPr="008C19A2" w:rsidRDefault="005C736B" w:rsidP="005C736B">
            <w:pPr>
              <w:rPr>
                <w:sz w:val="20"/>
              </w:rPr>
            </w:pPr>
            <w:r w:rsidRPr="00782DBB">
              <w:rPr>
                <w:sz w:val="20"/>
                <w:highlight w:val="green"/>
              </w:rPr>
              <w:t>“Problem” and “Incident” are not defined.</w:t>
            </w:r>
          </w:p>
        </w:tc>
      </w:tr>
      <w:tr w:rsidR="005C736B" w:rsidRPr="00AE6ED9" w14:paraId="5723508B" w14:textId="77777777" w:rsidTr="005C736B">
        <w:tc>
          <w:tcPr>
            <w:tcW w:w="657" w:type="dxa"/>
          </w:tcPr>
          <w:p w14:paraId="354AEE52" w14:textId="77777777" w:rsidR="005C736B" w:rsidRPr="007A3EDF" w:rsidRDefault="005C736B" w:rsidP="005C736B">
            <w:pPr>
              <w:rPr>
                <w:sz w:val="20"/>
                <w:highlight w:val="yellow"/>
              </w:rPr>
            </w:pPr>
            <w:r w:rsidRPr="007A3EDF">
              <w:rPr>
                <w:sz w:val="20"/>
                <w:highlight w:val="yellow"/>
              </w:rPr>
              <w:t>20</w:t>
            </w:r>
          </w:p>
        </w:tc>
        <w:tc>
          <w:tcPr>
            <w:tcW w:w="1269" w:type="dxa"/>
          </w:tcPr>
          <w:p w14:paraId="16A589AC" w14:textId="77777777" w:rsidR="005C736B" w:rsidRPr="007A3EDF" w:rsidRDefault="005C736B" w:rsidP="005C736B">
            <w:pPr>
              <w:rPr>
                <w:sz w:val="20"/>
                <w:highlight w:val="yellow"/>
              </w:rPr>
            </w:pPr>
            <w:r w:rsidRPr="007A3EDF">
              <w:rPr>
                <w:sz w:val="20"/>
                <w:highlight w:val="yellow"/>
              </w:rPr>
              <w:t>5.3.1</w:t>
            </w:r>
          </w:p>
        </w:tc>
        <w:tc>
          <w:tcPr>
            <w:tcW w:w="994" w:type="dxa"/>
          </w:tcPr>
          <w:p w14:paraId="679F42B4" w14:textId="77777777" w:rsidR="005C736B" w:rsidRPr="007A3EDF" w:rsidRDefault="005C736B" w:rsidP="005C736B">
            <w:pPr>
              <w:rPr>
                <w:sz w:val="20"/>
                <w:highlight w:val="yellow"/>
              </w:rPr>
            </w:pPr>
            <w:r w:rsidRPr="007A3EDF">
              <w:rPr>
                <w:sz w:val="20"/>
                <w:highlight w:val="yellow"/>
              </w:rPr>
              <w:t>OPEN</w:t>
            </w:r>
          </w:p>
        </w:tc>
        <w:tc>
          <w:tcPr>
            <w:tcW w:w="2144" w:type="dxa"/>
          </w:tcPr>
          <w:p w14:paraId="63CEEE92" w14:textId="77777777" w:rsidR="005C736B" w:rsidRPr="007A3EDF" w:rsidRDefault="005C736B" w:rsidP="005C736B">
            <w:pPr>
              <w:rPr>
                <w:sz w:val="20"/>
                <w:highlight w:val="yellow"/>
              </w:rPr>
            </w:pPr>
            <w:r w:rsidRPr="007A3EDF">
              <w:rPr>
                <w:sz w:val="20"/>
                <w:highlight w:val="yellow"/>
              </w:rPr>
              <w:t>Product catalogue</w:t>
            </w:r>
          </w:p>
        </w:tc>
        <w:tc>
          <w:tcPr>
            <w:tcW w:w="4216" w:type="dxa"/>
          </w:tcPr>
          <w:p w14:paraId="14A3488F" w14:textId="77777777" w:rsidR="005C736B" w:rsidRDefault="005C736B" w:rsidP="005C736B">
            <w:pPr>
              <w:rPr>
                <w:sz w:val="20"/>
              </w:rPr>
            </w:pPr>
            <w:r w:rsidRPr="007A3EDF">
              <w:rPr>
                <w:sz w:val="20"/>
                <w:highlight w:val="yellow"/>
              </w:rPr>
              <w:t>The catalogue is not defined, or no link given.</w:t>
            </w:r>
          </w:p>
        </w:tc>
      </w:tr>
      <w:tr w:rsidR="005C736B" w:rsidRPr="007C6690" w14:paraId="277C00B8" w14:textId="77777777" w:rsidTr="005C736B">
        <w:tc>
          <w:tcPr>
            <w:tcW w:w="657" w:type="dxa"/>
          </w:tcPr>
          <w:p w14:paraId="00D5BFFD" w14:textId="77777777" w:rsidR="005C736B" w:rsidRPr="002073BD" w:rsidRDefault="005C736B" w:rsidP="005C736B">
            <w:pPr>
              <w:rPr>
                <w:sz w:val="20"/>
                <w:highlight w:val="green"/>
              </w:rPr>
            </w:pPr>
            <w:r w:rsidRPr="002073BD">
              <w:rPr>
                <w:sz w:val="20"/>
                <w:highlight w:val="green"/>
              </w:rPr>
              <w:t>21</w:t>
            </w:r>
          </w:p>
        </w:tc>
        <w:tc>
          <w:tcPr>
            <w:tcW w:w="1269" w:type="dxa"/>
          </w:tcPr>
          <w:p w14:paraId="2332F812" w14:textId="77777777" w:rsidR="005C736B" w:rsidRPr="002073BD" w:rsidRDefault="005C736B" w:rsidP="005C736B">
            <w:pPr>
              <w:rPr>
                <w:sz w:val="20"/>
                <w:highlight w:val="green"/>
              </w:rPr>
            </w:pPr>
            <w:r w:rsidRPr="002073BD">
              <w:rPr>
                <w:sz w:val="20"/>
                <w:highlight w:val="green"/>
              </w:rPr>
              <w:t>5.4.1</w:t>
            </w:r>
          </w:p>
        </w:tc>
        <w:tc>
          <w:tcPr>
            <w:tcW w:w="994" w:type="dxa"/>
          </w:tcPr>
          <w:p w14:paraId="756395FD" w14:textId="77777777" w:rsidR="005C736B" w:rsidRPr="002073BD" w:rsidRDefault="005C736B" w:rsidP="005C736B">
            <w:pPr>
              <w:rPr>
                <w:sz w:val="20"/>
                <w:highlight w:val="green"/>
              </w:rPr>
            </w:pPr>
            <w:r w:rsidRPr="002073BD">
              <w:rPr>
                <w:sz w:val="20"/>
                <w:highlight w:val="green"/>
              </w:rPr>
              <w:t>OPEN</w:t>
            </w:r>
          </w:p>
        </w:tc>
        <w:tc>
          <w:tcPr>
            <w:tcW w:w="2144" w:type="dxa"/>
          </w:tcPr>
          <w:p w14:paraId="087E133F" w14:textId="77777777" w:rsidR="005C736B" w:rsidRPr="002073BD" w:rsidRDefault="005C736B" w:rsidP="005C736B">
            <w:pPr>
              <w:rPr>
                <w:sz w:val="20"/>
                <w:highlight w:val="green"/>
              </w:rPr>
            </w:pPr>
            <w:r w:rsidRPr="002073BD">
              <w:rPr>
                <w:sz w:val="20"/>
                <w:highlight w:val="green"/>
              </w:rPr>
              <w:t>GGUS as web based support</w:t>
            </w:r>
          </w:p>
        </w:tc>
        <w:tc>
          <w:tcPr>
            <w:tcW w:w="4216" w:type="dxa"/>
          </w:tcPr>
          <w:p w14:paraId="67B50B36" w14:textId="77777777" w:rsidR="005C736B" w:rsidRPr="007C6690" w:rsidRDefault="005C736B" w:rsidP="005C736B">
            <w:pPr>
              <w:rPr>
                <w:sz w:val="20"/>
              </w:rPr>
            </w:pPr>
            <w:r w:rsidRPr="002073BD">
              <w:rPr>
                <w:sz w:val="20"/>
                <w:highlight w:val="green"/>
              </w:rPr>
              <w:t xml:space="preserve">This is certainly through fro EGI as a customer, but I'm not aware of discussions about the usage of the same front end for non-EGI users. EGI may want to expose the same front end to the users of other infrastructures (for example PRACE), but that requires discussion and agreement (as this has implications in a fee for service model), and these discussions need to involve EGI (not EMI) as long as this is </w:t>
            </w:r>
            <w:proofErr w:type="gramStart"/>
            <w:r w:rsidRPr="002073BD">
              <w:rPr>
                <w:sz w:val="20"/>
                <w:highlight w:val="green"/>
              </w:rPr>
              <w:t>a</w:t>
            </w:r>
            <w:proofErr w:type="gramEnd"/>
            <w:r w:rsidRPr="002073BD">
              <w:rPr>
                <w:sz w:val="20"/>
                <w:highlight w:val="green"/>
              </w:rPr>
              <w:t xml:space="preserve"> EGI funded service.</w:t>
            </w:r>
          </w:p>
        </w:tc>
      </w:tr>
      <w:tr w:rsidR="005C736B" w:rsidRPr="007C6690" w14:paraId="39644167" w14:textId="77777777" w:rsidTr="005C736B">
        <w:tc>
          <w:tcPr>
            <w:tcW w:w="657" w:type="dxa"/>
          </w:tcPr>
          <w:p w14:paraId="5B344E1C" w14:textId="77777777" w:rsidR="005C736B" w:rsidRPr="00E435B6" w:rsidRDefault="005C736B" w:rsidP="005C736B">
            <w:pPr>
              <w:rPr>
                <w:sz w:val="20"/>
                <w:highlight w:val="yellow"/>
              </w:rPr>
            </w:pPr>
            <w:r w:rsidRPr="00E435B6">
              <w:rPr>
                <w:sz w:val="20"/>
                <w:highlight w:val="yellow"/>
              </w:rPr>
              <w:t>22</w:t>
            </w:r>
          </w:p>
        </w:tc>
        <w:tc>
          <w:tcPr>
            <w:tcW w:w="1269" w:type="dxa"/>
          </w:tcPr>
          <w:p w14:paraId="00A57C04" w14:textId="77777777" w:rsidR="005C736B" w:rsidRPr="00E435B6" w:rsidRDefault="005C736B" w:rsidP="005C736B">
            <w:pPr>
              <w:rPr>
                <w:sz w:val="20"/>
                <w:highlight w:val="yellow"/>
              </w:rPr>
            </w:pPr>
            <w:r w:rsidRPr="00E435B6">
              <w:rPr>
                <w:sz w:val="20"/>
                <w:highlight w:val="yellow"/>
              </w:rPr>
              <w:t>6.2</w:t>
            </w:r>
          </w:p>
        </w:tc>
        <w:tc>
          <w:tcPr>
            <w:tcW w:w="994" w:type="dxa"/>
          </w:tcPr>
          <w:p w14:paraId="679351E2" w14:textId="77777777" w:rsidR="005C736B" w:rsidRPr="00E435B6" w:rsidRDefault="005C736B" w:rsidP="005C736B">
            <w:pPr>
              <w:rPr>
                <w:sz w:val="20"/>
                <w:highlight w:val="yellow"/>
              </w:rPr>
            </w:pPr>
            <w:r w:rsidRPr="00E435B6">
              <w:rPr>
                <w:sz w:val="20"/>
                <w:highlight w:val="yellow"/>
              </w:rPr>
              <w:t>OPEN</w:t>
            </w:r>
          </w:p>
        </w:tc>
        <w:tc>
          <w:tcPr>
            <w:tcW w:w="2144" w:type="dxa"/>
          </w:tcPr>
          <w:p w14:paraId="19B9404B" w14:textId="77777777" w:rsidR="005C736B" w:rsidRPr="00E435B6" w:rsidRDefault="005C736B" w:rsidP="005C736B">
            <w:pPr>
              <w:rPr>
                <w:sz w:val="20"/>
                <w:highlight w:val="yellow"/>
              </w:rPr>
            </w:pPr>
            <w:r w:rsidRPr="00E435B6">
              <w:rPr>
                <w:sz w:val="20"/>
                <w:highlight w:val="yellow"/>
              </w:rPr>
              <w:t>Definition of terms</w:t>
            </w:r>
          </w:p>
        </w:tc>
        <w:tc>
          <w:tcPr>
            <w:tcW w:w="4216" w:type="dxa"/>
          </w:tcPr>
          <w:p w14:paraId="72E43F7B" w14:textId="77777777" w:rsidR="005C736B" w:rsidRPr="007C6690" w:rsidRDefault="005C736B" w:rsidP="005C736B">
            <w:pPr>
              <w:rPr>
                <w:sz w:val="20"/>
              </w:rPr>
            </w:pPr>
            <w:r w:rsidRPr="00E435B6">
              <w:rPr>
                <w:sz w:val="20"/>
                <w:highlight w:val="yellow"/>
              </w:rPr>
              <w:t>“Response “ and “Addressing a ticket” are not clearly defined. Those terms need definition before the response times guaranteed in the SLA can be assessed.</w:t>
            </w:r>
          </w:p>
        </w:tc>
      </w:tr>
    </w:tbl>
    <w:p w14:paraId="41D42A1D" w14:textId="05030E0C" w:rsidR="00844191" w:rsidRDefault="00827FA9" w:rsidP="00827FA9">
      <w:pPr>
        <w:pStyle w:val="Heading3"/>
      </w:pPr>
      <w:bookmarkStart w:id="6" w:name="_Toc163108780"/>
      <w:r w:rsidRPr="00827FA9">
        <w:t>Review outcome</w:t>
      </w:r>
      <w:bookmarkEnd w:id="6"/>
    </w:p>
    <w:p w14:paraId="146FE2B0" w14:textId="4D0CF501" w:rsidR="00827FA9" w:rsidRDefault="00827FA9" w:rsidP="00827FA9">
      <w:pPr>
        <w:pStyle w:val="ListParagraph"/>
        <w:numPr>
          <w:ilvl w:val="0"/>
          <w:numId w:val="44"/>
        </w:numPr>
        <w:jc w:val="left"/>
      </w:pPr>
      <w:r>
        <w:t xml:space="preserve">Template PDF seem broken with </w:t>
      </w:r>
      <w:proofErr w:type="spellStart"/>
      <w:r>
        <w:t>ToC</w:t>
      </w:r>
      <w:proofErr w:type="spellEnd"/>
      <w:r>
        <w:t>, and formatting</w:t>
      </w:r>
      <w:r w:rsidR="00513C8C">
        <w:br/>
        <w:t>Applies to: SLA template, EGI draft</w:t>
      </w:r>
    </w:p>
    <w:p w14:paraId="350C9858" w14:textId="4C33CA90" w:rsidR="00827FA9" w:rsidRDefault="00827FA9" w:rsidP="00827FA9">
      <w:pPr>
        <w:pStyle w:val="ListParagraph"/>
        <w:numPr>
          <w:ilvl w:val="0"/>
          <w:numId w:val="44"/>
        </w:numPr>
        <w:jc w:val="left"/>
      </w:pPr>
      <w:r>
        <w:t>Issues and clauses that are specific to EGI must be recorded in an Annex included in the specific SLA that EGI is willing to sign.</w:t>
      </w:r>
      <w:r w:rsidR="00513C8C">
        <w:br/>
        <w:t>Applies to: EGI draft</w:t>
      </w:r>
    </w:p>
    <w:p w14:paraId="0D57D101" w14:textId="4365CD86" w:rsidR="00513C8C" w:rsidRDefault="00513C8C" w:rsidP="00513C8C">
      <w:pPr>
        <w:pStyle w:val="ListParagraph"/>
        <w:numPr>
          <w:ilvl w:val="0"/>
          <w:numId w:val="44"/>
        </w:numPr>
        <w:jc w:val="left"/>
      </w:pPr>
      <w:r>
        <w:lastRenderedPageBreak/>
        <w:t>Sections 2, 3 – Placeholder text should be replaced with concrete custo</w:t>
      </w:r>
      <w:r w:rsidR="00CB742D">
        <w:t xml:space="preserve">mer name </w:t>
      </w:r>
      <w:r w:rsidR="00CB742D">
        <w:br/>
        <w:t>Applies to: EGI draft</w:t>
      </w:r>
    </w:p>
    <w:p w14:paraId="7CF9B886" w14:textId="7C0E1AF3" w:rsidR="00513C8C" w:rsidRDefault="00513C8C" w:rsidP="00513C8C">
      <w:pPr>
        <w:pStyle w:val="ListParagraph"/>
        <w:numPr>
          <w:ilvl w:val="0"/>
          <w:numId w:val="44"/>
        </w:numPr>
        <w:jc w:val="left"/>
      </w:pPr>
      <w:r>
        <w:t xml:space="preserve">Section 4 – The EMI SLA Manager must either be a concrete person, or </w:t>
      </w:r>
      <w:proofErr w:type="gramStart"/>
      <w:r>
        <w:t>be</w:t>
      </w:r>
      <w:proofErr w:type="gramEnd"/>
      <w:r>
        <w:t xml:space="preserve"> listed as a communications contact in se</w:t>
      </w:r>
      <w:r w:rsidR="001874EA">
        <w:t>ction 11.</w:t>
      </w:r>
      <w:r w:rsidR="001874EA">
        <w:br/>
        <w:t>Applies to: EGI draft</w:t>
      </w:r>
    </w:p>
    <w:p w14:paraId="5CC81716" w14:textId="4C37F314" w:rsidR="00827FA9" w:rsidRDefault="00513C8C" w:rsidP="00CB742D">
      <w:pPr>
        <w:pStyle w:val="ListParagraph"/>
        <w:numPr>
          <w:ilvl w:val="0"/>
          <w:numId w:val="44"/>
        </w:numPr>
        <w:jc w:val="left"/>
      </w:pPr>
      <w:r>
        <w:t>Section 5</w:t>
      </w:r>
      <w:r w:rsidR="00CB742D">
        <w:t xml:space="preserve">.1 </w:t>
      </w:r>
      <w:r>
        <w:t>–</w:t>
      </w:r>
      <w:r w:rsidR="00CB742D">
        <w:t xml:space="preserve"> Reference</w:t>
      </w:r>
      <w:r>
        <w:t xml:space="preserve"> to EMI Support Plan (links to document</w:t>
      </w:r>
      <w:r w:rsidR="00CB742D">
        <w:t xml:space="preserve"> </w:t>
      </w:r>
      <w:r>
        <w:t xml:space="preserve">on the EMI website) </w:t>
      </w:r>
      <w:r w:rsidR="00CB742D">
        <w:t>is non-functional</w:t>
      </w:r>
      <w:r>
        <w:t>. Critical for further review and acceptance of the SLA.</w:t>
      </w:r>
      <w:r>
        <w:br/>
        <w:t>Applies to: SLA template, EGI draft</w:t>
      </w:r>
    </w:p>
    <w:p w14:paraId="19752BDF" w14:textId="04AA6CE2" w:rsidR="00CB742D" w:rsidRDefault="00CB742D" w:rsidP="00CB742D">
      <w:pPr>
        <w:pStyle w:val="ListParagraph"/>
        <w:numPr>
          <w:ilvl w:val="0"/>
          <w:numId w:val="44"/>
        </w:numPr>
        <w:jc w:val="left"/>
      </w:pPr>
      <w:r>
        <w:t>Section 5.2.1 – The definition of “fully trained staff” is unclear and needs exact definition. Otherwise a new clause 5.3.1 (c), describing training services that would qualify attendees as “fully qualified” personnel, is required.</w:t>
      </w:r>
      <w:r w:rsidR="001874EA">
        <w:br/>
        <w:t>Applies to: SLA template, EGI draft</w:t>
      </w:r>
    </w:p>
    <w:p w14:paraId="18584D93" w14:textId="2A28B55E" w:rsidR="001874EA" w:rsidRDefault="001874EA" w:rsidP="00CB742D">
      <w:pPr>
        <w:pStyle w:val="ListParagraph"/>
        <w:numPr>
          <w:ilvl w:val="0"/>
          <w:numId w:val="44"/>
        </w:numPr>
        <w:jc w:val="left"/>
      </w:pPr>
      <w:r>
        <w:t>Section 5.2.5 – The first paragraph is redundant and should therefore be removed.</w:t>
      </w:r>
      <w:r>
        <w:br/>
        <w:t>Applies to: SLA template, EGI draft</w:t>
      </w:r>
    </w:p>
    <w:p w14:paraId="76C2AD63" w14:textId="329D3365" w:rsidR="001874EA" w:rsidRPr="001874EA" w:rsidRDefault="001874EA" w:rsidP="001874EA">
      <w:pPr>
        <w:pStyle w:val="ListParagraph"/>
        <w:numPr>
          <w:ilvl w:val="0"/>
          <w:numId w:val="44"/>
        </w:numPr>
        <w:jc w:val="left"/>
        <w:rPr>
          <w:i/>
        </w:rPr>
      </w:pPr>
      <w:r>
        <w:t>Section 5.2.6 – The entire section is in this form unacceptable to EGI, and does not add value to the SLA. The whole section should be replaced with the following text:</w:t>
      </w:r>
      <w:r>
        <w:br/>
      </w:r>
      <w:r w:rsidRPr="001874EA">
        <w:rPr>
          <w:i/>
        </w:rPr>
        <w:t>“</w:t>
      </w:r>
      <w:r w:rsidRPr="001874EA">
        <w:rPr>
          <w:rFonts w:eastAsia="Cambria"/>
          <w:i/>
        </w:rPr>
        <w:t>The Customer is aware that Products, which are not within the agreed Support Life periods, are not timely updated to fix critical issues and are used outside the recommended configuration parameters are not entitled to be supported from EMI Technical Experts. EMI Technical experts can ask the Customer to upgrade, apply updates and restore the recommended configuration parameters before further investigating any reported issue.</w:t>
      </w:r>
      <w:r w:rsidRPr="001874EA">
        <w:rPr>
          <w:i/>
        </w:rPr>
        <w:t>”</w:t>
      </w:r>
      <w:r>
        <w:br/>
        <w:t>Applies to: SLA template, EGI draft</w:t>
      </w:r>
    </w:p>
    <w:p w14:paraId="2144B4B5" w14:textId="47851C09" w:rsidR="001874EA" w:rsidRPr="001874EA" w:rsidRDefault="001874EA" w:rsidP="001874EA">
      <w:pPr>
        <w:pStyle w:val="ListParagraph"/>
        <w:numPr>
          <w:ilvl w:val="0"/>
          <w:numId w:val="44"/>
        </w:numPr>
        <w:jc w:val="left"/>
      </w:pPr>
      <w:r>
        <w:t>Section 5.3.1 – EGI requires a static list of EMI Products that are reviewed in regular intervals.</w:t>
      </w:r>
      <w:r>
        <w:br/>
        <w:t>Applies to: EGI draft</w:t>
      </w:r>
    </w:p>
    <w:p w14:paraId="0F0CC0A9" w14:textId="580D02F2" w:rsidR="00CB742D" w:rsidRDefault="00CB742D" w:rsidP="00CB742D">
      <w:pPr>
        <w:pStyle w:val="ListParagraph"/>
        <w:numPr>
          <w:ilvl w:val="0"/>
          <w:numId w:val="44"/>
        </w:numPr>
        <w:jc w:val="left"/>
      </w:pPr>
      <w:r>
        <w:t>Section 5.3.2 – Reference to EMI Product lifecycles (links to document on the EMI website) is non-functional. Critical for further review and acceptance of the SLA.</w:t>
      </w:r>
      <w:r>
        <w:br/>
        <w:t>Applies to: SLA template, EGI draft</w:t>
      </w:r>
    </w:p>
    <w:p w14:paraId="3F20C92D" w14:textId="6629CDE9" w:rsidR="00CB742D" w:rsidRDefault="00905E69" w:rsidP="00905E69">
      <w:pPr>
        <w:pStyle w:val="ListParagraph"/>
        <w:numPr>
          <w:ilvl w:val="0"/>
          <w:numId w:val="44"/>
        </w:numPr>
        <w:jc w:val="left"/>
      </w:pPr>
      <w:r>
        <w:t>Section 5.3.4 (3) – The EGI Software Repository must be mentioned as an approved software distribution channel.</w:t>
      </w:r>
      <w:r>
        <w:br/>
        <w:t>Applies to: EGI draft</w:t>
      </w:r>
    </w:p>
    <w:p w14:paraId="17EEEC43" w14:textId="7112B51B" w:rsidR="00827FA9" w:rsidRDefault="00CB742D" w:rsidP="00827FA9">
      <w:pPr>
        <w:pStyle w:val="ListParagraph"/>
        <w:numPr>
          <w:ilvl w:val="0"/>
          <w:numId w:val="44"/>
        </w:numPr>
        <w:jc w:val="left"/>
      </w:pPr>
      <w:r>
        <w:t>Section 5.4 – Reference to EMI Support Plan (links to document on the EMI website) is non-functional. Critical for further review and acceptance of the SLA.</w:t>
      </w:r>
      <w:r>
        <w:br/>
        <w:t>Applies to: SLA template, EGI draft</w:t>
      </w:r>
    </w:p>
    <w:p w14:paraId="24611DA1" w14:textId="67E418BA" w:rsidR="00B21F01" w:rsidRDefault="00905E69" w:rsidP="00B21F01">
      <w:pPr>
        <w:pStyle w:val="ListParagraph"/>
        <w:numPr>
          <w:ilvl w:val="0"/>
          <w:numId w:val="44"/>
        </w:numPr>
        <w:jc w:val="left"/>
      </w:pPr>
      <w:r>
        <w:t>Section 5.4 paragraph 2, section 5.4.1 – The paragraphs suggest that EM</w:t>
      </w:r>
      <w:r w:rsidR="00B21F01">
        <w:t xml:space="preserve">I </w:t>
      </w:r>
      <w:r>
        <w:t xml:space="preserve">wishes to use GGUS as part of their generic service offering to all its customers. GGUS clearly belongs to EGI, and any EMI service offering using GGUS for customers other than EGI must be covered with an appropriate SLA. Otherwise </w:t>
      </w:r>
      <w:r w:rsidR="00B21F01">
        <w:t>any reference to GGUS as third level tool for support must be moved into the Annex specific to the EGI draft.</w:t>
      </w:r>
      <w:r w:rsidR="00B21F01">
        <w:br/>
        <w:t>Applies to: SLA template, EGI draft</w:t>
      </w:r>
    </w:p>
    <w:p w14:paraId="58322F5A" w14:textId="196232D8" w:rsidR="00B21F01" w:rsidRDefault="00B21F01" w:rsidP="00B21F01">
      <w:pPr>
        <w:pStyle w:val="ListParagraph"/>
        <w:numPr>
          <w:ilvl w:val="0"/>
          <w:numId w:val="44"/>
        </w:numPr>
        <w:jc w:val="left"/>
      </w:pPr>
      <w:r>
        <w:t xml:space="preserve">Section 5.4 </w:t>
      </w:r>
      <w:proofErr w:type="gramStart"/>
      <w:r>
        <w:t>paragraph</w:t>
      </w:r>
      <w:proofErr w:type="gramEnd"/>
      <w:r>
        <w:t xml:space="preserve"> 3 – EMI internal tracking systems and processes of problem and incident management are of relevance only to EMI and therefore not part of the interface between EGI and EMI (or any other customer of EMI, unless agreed as being part of the interface). Therefore the relevant sections must be removed from the paragraph. The agreed interface between EGI and EMI for 3</w:t>
      </w:r>
      <w:r w:rsidRPr="00B21F01">
        <w:rPr>
          <w:vertAlign w:val="superscript"/>
        </w:rPr>
        <w:t>rd</w:t>
      </w:r>
      <w:r>
        <w:t xml:space="preserve"> level support is GGUS, and therefore formal communication and responses of available updates to issues reported in GGUS must be given in the relevant GGUS ticket(s).</w:t>
      </w:r>
      <w:r>
        <w:br/>
        <w:t>Applies to: SLA template, EGI draft</w:t>
      </w:r>
    </w:p>
    <w:p w14:paraId="326276AD" w14:textId="499FC26C" w:rsidR="00CB742D" w:rsidRDefault="00B21F01" w:rsidP="00827FA9">
      <w:pPr>
        <w:pStyle w:val="ListParagraph"/>
        <w:numPr>
          <w:ilvl w:val="0"/>
          <w:numId w:val="44"/>
        </w:numPr>
        <w:jc w:val="left"/>
      </w:pPr>
      <w:r>
        <w:lastRenderedPageBreak/>
        <w:t>Section 6.1 – Telephone support should be added as a tertiary support channel, available only on demand. Web support should remain primary support channel, and Email support should remain secondary support channel.</w:t>
      </w:r>
      <w:r>
        <w:br/>
        <w:t>Applies to: SLA template, EGI draft</w:t>
      </w:r>
    </w:p>
    <w:p w14:paraId="10F28793" w14:textId="6D35F05F" w:rsidR="00B21F01" w:rsidRDefault="00B21F01" w:rsidP="00827FA9">
      <w:pPr>
        <w:pStyle w:val="ListParagraph"/>
        <w:numPr>
          <w:ilvl w:val="0"/>
          <w:numId w:val="44"/>
        </w:numPr>
        <w:jc w:val="left"/>
      </w:pPr>
      <w:r>
        <w:t xml:space="preserve">Section 6.2 – The </w:t>
      </w:r>
      <w:r w:rsidR="00BC4073">
        <w:t xml:space="preserve">guaranteed </w:t>
      </w:r>
      <w:r>
        <w:t xml:space="preserve">response times for issues of severity levels 2, 3 and 4 </w:t>
      </w:r>
      <w:r w:rsidR="00BC4073">
        <w:t>seem too long, and customers may consider EMI unresponsive based on the provided times.</w:t>
      </w:r>
      <w:r w:rsidR="00BC4073">
        <w:br/>
      </w:r>
      <w:r>
        <w:t xml:space="preserve">EGI </w:t>
      </w:r>
      <w:r w:rsidR="00BC4073">
        <w:t>as a specific customer accepts response times of: 1 day (24 hours) for severity 2, 5 working days for severity 3, and 20 working days for severity 4 service requests.</w:t>
      </w:r>
      <w:r w:rsidR="00BC4073">
        <w:br/>
        <w:t>Applies to: SLA template, EGI draft</w:t>
      </w:r>
    </w:p>
    <w:p w14:paraId="0A4C60ED" w14:textId="2FC351C6" w:rsidR="00BC4073" w:rsidRDefault="00BC4073" w:rsidP="00BC4073">
      <w:pPr>
        <w:pStyle w:val="ListParagraph"/>
        <w:numPr>
          <w:ilvl w:val="0"/>
          <w:numId w:val="44"/>
        </w:numPr>
        <w:jc w:val="left"/>
      </w:pPr>
      <w:r>
        <w:t>Section 6.2, Service requests with severity 4 – The EGI DMSU is considered responsible for assessing Service Requests of this severity and feed them (or parts thereof) as requirements in the Requirements assessing process in EGI’s TCB.</w:t>
      </w:r>
      <w:r>
        <w:br/>
        <w:t>Applies to: EGI draft</w:t>
      </w:r>
    </w:p>
    <w:p w14:paraId="7324DD1D" w14:textId="0C965DDD" w:rsidR="00BC4073" w:rsidRDefault="00BC4073" w:rsidP="00BC4073">
      <w:pPr>
        <w:pStyle w:val="ListParagraph"/>
        <w:numPr>
          <w:ilvl w:val="0"/>
          <w:numId w:val="44"/>
        </w:numPr>
        <w:jc w:val="left"/>
      </w:pPr>
      <w:r>
        <w:t>Section 6.3 – This touches issue 13, EMI considering GGUS as part of its general service offering (or exclusive to EGI), and therefore needs clarification.</w:t>
      </w:r>
      <w:r w:rsidR="004135EB">
        <w:br/>
        <w:t>Applies to: SLA template, EGI draft</w:t>
      </w:r>
    </w:p>
    <w:p w14:paraId="4965E6B0" w14:textId="408D7084" w:rsidR="00B03B17" w:rsidRDefault="00B03B17" w:rsidP="00B03B17">
      <w:pPr>
        <w:pStyle w:val="Heading3"/>
      </w:pPr>
      <w:r>
        <w:t>Issues sent to EMI</w:t>
      </w:r>
    </w:p>
    <w:p w14:paraId="71E58E47" w14:textId="77777777" w:rsidR="00B03B17" w:rsidRDefault="00B03B17" w:rsidP="00B03B17">
      <w:pPr>
        <w:pStyle w:val="NormalWeb"/>
      </w:pPr>
      <w:proofErr w:type="gramStart"/>
      <w:r>
        <w:rPr>
          <w:lang w:val="en-GB"/>
        </w:rPr>
        <w:t>Template PDF seem</w:t>
      </w:r>
      <w:proofErr w:type="gramEnd"/>
      <w:r>
        <w:rPr>
          <w:lang w:val="en-GB"/>
        </w:rPr>
        <w:t xml:space="preserve"> broken with </w:t>
      </w:r>
      <w:proofErr w:type="spellStart"/>
      <w:r>
        <w:rPr>
          <w:lang w:val="en-GB"/>
        </w:rPr>
        <w:t>ToC</w:t>
      </w:r>
      <w:proofErr w:type="spellEnd"/>
      <w:r>
        <w:rPr>
          <w:lang w:val="en-GB"/>
        </w:rPr>
        <w:t>, and formatting</w:t>
      </w:r>
      <w:r>
        <w:rPr>
          <w:lang w:val="en-GB"/>
        </w:rPr>
        <w:br/>
        <w:t>Applies to: SLA template, EGI draft</w:t>
      </w:r>
    </w:p>
    <w:p w14:paraId="0E902060" w14:textId="77777777" w:rsidR="00B03B17" w:rsidRDefault="00B03B17" w:rsidP="00B03B17">
      <w:pPr>
        <w:pStyle w:val="NormalWeb"/>
      </w:pPr>
      <w:r>
        <w:rPr>
          <w:lang w:val="en-GB"/>
        </w:rPr>
        <w:t>2.</w:t>
      </w:r>
      <w:r>
        <w:rPr>
          <w:rFonts w:ascii="Times New Roman" w:hAnsi="Times New Roman"/>
          <w:sz w:val="14"/>
          <w:szCs w:val="14"/>
          <w:lang w:val="en-GB"/>
        </w:rPr>
        <w:t xml:space="preserve">     </w:t>
      </w:r>
      <w:r>
        <w:rPr>
          <w:lang w:val="en-GB"/>
        </w:rPr>
        <w:t>Issues and clauses that are specific to EGI must be recorded in an Annex included in the specific SLA that EGI is willing to sign.</w:t>
      </w:r>
      <w:r>
        <w:rPr>
          <w:lang w:val="en-GB"/>
        </w:rPr>
        <w:br/>
        <w:t>Applies to: EGI draft</w:t>
      </w:r>
    </w:p>
    <w:p w14:paraId="4A36A99D" w14:textId="77777777" w:rsidR="00B03B17" w:rsidRDefault="00B03B17" w:rsidP="00B03B17">
      <w:pPr>
        <w:pStyle w:val="NormalWeb"/>
      </w:pPr>
      <w:r>
        <w:rPr>
          <w:lang w:val="en-GB"/>
        </w:rPr>
        <w:t>3.</w:t>
      </w:r>
      <w:r>
        <w:rPr>
          <w:rFonts w:ascii="Times New Roman" w:hAnsi="Times New Roman"/>
          <w:sz w:val="14"/>
          <w:szCs w:val="14"/>
          <w:lang w:val="en-GB"/>
        </w:rPr>
        <w:t xml:space="preserve">     </w:t>
      </w:r>
      <w:r>
        <w:rPr>
          <w:lang w:val="en-GB"/>
        </w:rPr>
        <w:t xml:space="preserve">Sections 2, 3 – Placeholder text should be replaced with concrete customer name </w:t>
      </w:r>
      <w:r>
        <w:rPr>
          <w:lang w:val="en-GB"/>
        </w:rPr>
        <w:br/>
        <w:t>Applies to: EGI draft</w:t>
      </w:r>
    </w:p>
    <w:p w14:paraId="2E15C25B" w14:textId="77777777" w:rsidR="00B03B17" w:rsidRDefault="00B03B17" w:rsidP="00B03B17">
      <w:pPr>
        <w:pStyle w:val="NormalWeb"/>
      </w:pPr>
      <w:r>
        <w:rPr>
          <w:lang w:val="en-GB"/>
        </w:rPr>
        <w:t>4.</w:t>
      </w:r>
      <w:r>
        <w:rPr>
          <w:rFonts w:ascii="Times New Roman" w:hAnsi="Times New Roman"/>
          <w:sz w:val="14"/>
          <w:szCs w:val="14"/>
          <w:lang w:val="en-GB"/>
        </w:rPr>
        <w:t xml:space="preserve">     </w:t>
      </w:r>
      <w:r>
        <w:rPr>
          <w:lang w:val="en-GB"/>
        </w:rPr>
        <w:t xml:space="preserve">Section 4 – The EMI SLA Manager must either be a concrete person, or </w:t>
      </w:r>
      <w:proofErr w:type="gramStart"/>
      <w:r>
        <w:rPr>
          <w:lang w:val="en-GB"/>
        </w:rPr>
        <w:t>be</w:t>
      </w:r>
      <w:proofErr w:type="gramEnd"/>
      <w:r>
        <w:rPr>
          <w:lang w:val="en-GB"/>
        </w:rPr>
        <w:t xml:space="preserve"> listed as a communications contact in section 11.</w:t>
      </w:r>
      <w:r>
        <w:rPr>
          <w:lang w:val="en-GB"/>
        </w:rPr>
        <w:br/>
        <w:t>Applies to: EGI draft</w:t>
      </w:r>
    </w:p>
    <w:p w14:paraId="13CDDA21" w14:textId="77777777" w:rsidR="00B03B17" w:rsidRDefault="00B03B17" w:rsidP="00B03B17">
      <w:pPr>
        <w:pStyle w:val="NormalWeb"/>
      </w:pPr>
      <w:r>
        <w:rPr>
          <w:lang w:val="en-GB"/>
        </w:rPr>
        <w:t>5.</w:t>
      </w:r>
      <w:r>
        <w:rPr>
          <w:rFonts w:ascii="Times New Roman" w:hAnsi="Times New Roman"/>
          <w:sz w:val="14"/>
          <w:szCs w:val="14"/>
          <w:lang w:val="en-GB"/>
        </w:rPr>
        <w:t xml:space="preserve">     </w:t>
      </w:r>
      <w:r>
        <w:rPr>
          <w:lang w:val="en-GB"/>
        </w:rPr>
        <w:t xml:space="preserve">Section 5.1 – Reference to EMI Support Plan (links to document on the EMI website) is non-functional. </w:t>
      </w:r>
      <w:proofErr w:type="gramStart"/>
      <w:r>
        <w:rPr>
          <w:lang w:val="en-GB"/>
        </w:rPr>
        <w:t>Critical for further review and acceptance of the SLA.</w:t>
      </w:r>
      <w:proofErr w:type="gramEnd"/>
      <w:r>
        <w:rPr>
          <w:lang w:val="en-GB"/>
        </w:rPr>
        <w:br/>
        <w:t>Applies to: SLA template, EGI draft</w:t>
      </w:r>
    </w:p>
    <w:p w14:paraId="5B35D8E3" w14:textId="77777777" w:rsidR="00B03B17" w:rsidRDefault="00B03B17" w:rsidP="00B03B17">
      <w:pPr>
        <w:pStyle w:val="NormalWeb"/>
      </w:pPr>
      <w:r>
        <w:rPr>
          <w:lang w:val="en-GB"/>
        </w:rPr>
        <w:t>6.</w:t>
      </w:r>
      <w:r>
        <w:rPr>
          <w:rFonts w:ascii="Times New Roman" w:hAnsi="Times New Roman"/>
          <w:sz w:val="14"/>
          <w:szCs w:val="14"/>
          <w:lang w:val="en-GB"/>
        </w:rPr>
        <w:t xml:space="preserve">     </w:t>
      </w:r>
      <w:r>
        <w:rPr>
          <w:lang w:val="en-GB"/>
        </w:rPr>
        <w:t>Section 5.2.1 – The definition of “fully trained staff” is unclear and needs exact definition. Otherwise a new clause 5.3.1 (c), describing training services that would qualify attendees as “fully qualified” personnel, is required.</w:t>
      </w:r>
      <w:r>
        <w:rPr>
          <w:lang w:val="en-GB"/>
        </w:rPr>
        <w:br/>
        <w:t>Applies to: SLA template, EGI draft</w:t>
      </w:r>
    </w:p>
    <w:p w14:paraId="3BCE5F72" w14:textId="77777777" w:rsidR="00B03B17" w:rsidRDefault="00B03B17" w:rsidP="00B03B17">
      <w:pPr>
        <w:pStyle w:val="NormalWeb"/>
      </w:pPr>
      <w:r>
        <w:rPr>
          <w:lang w:val="en-GB"/>
        </w:rPr>
        <w:t>7.</w:t>
      </w:r>
      <w:r>
        <w:rPr>
          <w:rFonts w:ascii="Times New Roman" w:hAnsi="Times New Roman"/>
          <w:sz w:val="14"/>
          <w:szCs w:val="14"/>
          <w:lang w:val="en-GB"/>
        </w:rPr>
        <w:t xml:space="preserve">     </w:t>
      </w:r>
      <w:r>
        <w:rPr>
          <w:lang w:val="en-GB"/>
        </w:rPr>
        <w:t>Section 5.2.5 – The first paragraph is redundant and should therefore be removed.</w:t>
      </w:r>
      <w:r>
        <w:rPr>
          <w:lang w:val="en-GB"/>
        </w:rPr>
        <w:br/>
        <w:t>Applies to: SLA template, EGI draft</w:t>
      </w:r>
    </w:p>
    <w:p w14:paraId="7730703A" w14:textId="77777777" w:rsidR="00B03B17" w:rsidRDefault="00B03B17" w:rsidP="00B03B17">
      <w:pPr>
        <w:pStyle w:val="NormalWeb"/>
      </w:pPr>
      <w:r>
        <w:rPr>
          <w:i/>
          <w:iCs/>
          <w:lang w:val="en-GB"/>
        </w:rPr>
        <w:t>8.</w:t>
      </w:r>
      <w:r>
        <w:rPr>
          <w:rFonts w:ascii="Times New Roman" w:hAnsi="Times New Roman"/>
          <w:i/>
          <w:iCs/>
          <w:sz w:val="14"/>
          <w:szCs w:val="14"/>
          <w:lang w:val="en-GB"/>
        </w:rPr>
        <w:t xml:space="preserve">     </w:t>
      </w:r>
      <w:r>
        <w:rPr>
          <w:lang w:val="en-GB"/>
        </w:rPr>
        <w:t>Section 5.2.6 – The entire section is in this form unacceptable to EGI, and does not add value to the SLA. The whole section should be replaced with the following text:</w:t>
      </w:r>
      <w:r>
        <w:rPr>
          <w:lang w:val="en-GB"/>
        </w:rPr>
        <w:br/>
      </w:r>
      <w:r>
        <w:rPr>
          <w:i/>
          <w:iCs/>
          <w:lang w:val="en-GB"/>
        </w:rPr>
        <w:t xml:space="preserve">“The Customer is aware that Products, which are not within the agreed Support Life periods, are not timely updated to fix critical issues and are used outside the recommended configuration parameters are not entitled to be supported from EMI Technical Experts. EMI Technical experts can ask the Customer to upgrade, apply </w:t>
      </w:r>
      <w:r>
        <w:rPr>
          <w:i/>
          <w:iCs/>
          <w:lang w:val="en-GB"/>
        </w:rPr>
        <w:lastRenderedPageBreak/>
        <w:t>updates and restore the recommended configuration parameters before further investigating any reported issue.”</w:t>
      </w:r>
      <w:r>
        <w:rPr>
          <w:lang w:val="en-GB"/>
        </w:rPr>
        <w:br/>
        <w:t>Applies to: SLA template, EGI draft</w:t>
      </w:r>
    </w:p>
    <w:p w14:paraId="184E5CC8" w14:textId="77777777" w:rsidR="00B03B17" w:rsidRDefault="00B03B17" w:rsidP="00B03B17">
      <w:pPr>
        <w:pStyle w:val="NormalWeb"/>
      </w:pPr>
      <w:r>
        <w:rPr>
          <w:lang w:val="en-GB"/>
        </w:rPr>
        <w:t>9.</w:t>
      </w:r>
      <w:r>
        <w:rPr>
          <w:rFonts w:ascii="Times New Roman" w:hAnsi="Times New Roman"/>
          <w:sz w:val="14"/>
          <w:szCs w:val="14"/>
          <w:lang w:val="en-GB"/>
        </w:rPr>
        <w:t xml:space="preserve">     </w:t>
      </w:r>
      <w:r>
        <w:rPr>
          <w:lang w:val="en-GB"/>
        </w:rPr>
        <w:t>Section 5.3.1 – EGI requires a static list of EMI Products that are reviewed in regular intervals.</w:t>
      </w:r>
      <w:r>
        <w:rPr>
          <w:lang w:val="en-GB"/>
        </w:rPr>
        <w:br/>
        <w:t>Applies to: EGI draft</w:t>
      </w:r>
    </w:p>
    <w:p w14:paraId="114A13F0" w14:textId="77777777" w:rsidR="00B03B17" w:rsidRDefault="00B03B17" w:rsidP="00B03B17">
      <w:pPr>
        <w:pStyle w:val="NormalWeb"/>
      </w:pPr>
      <w:r>
        <w:rPr>
          <w:lang w:val="en-GB"/>
        </w:rPr>
        <w:t>10.</w:t>
      </w:r>
      <w:r>
        <w:rPr>
          <w:rFonts w:ascii="Times New Roman" w:hAnsi="Times New Roman"/>
          <w:sz w:val="14"/>
          <w:szCs w:val="14"/>
          <w:lang w:val="en-GB"/>
        </w:rPr>
        <w:t xml:space="preserve">  </w:t>
      </w:r>
      <w:r>
        <w:rPr>
          <w:lang w:val="en-GB"/>
        </w:rPr>
        <w:t xml:space="preserve">Section 5.3.2 – Reference to EMI Product lifecycles (links to document on the EMI website) is non-functional. </w:t>
      </w:r>
      <w:proofErr w:type="gramStart"/>
      <w:r>
        <w:rPr>
          <w:lang w:val="en-GB"/>
        </w:rPr>
        <w:t>Critical for further review and acceptance of the SLA.</w:t>
      </w:r>
      <w:proofErr w:type="gramEnd"/>
      <w:r>
        <w:rPr>
          <w:lang w:val="en-GB"/>
        </w:rPr>
        <w:br/>
        <w:t>Applies to: SLA template, EGI draft</w:t>
      </w:r>
    </w:p>
    <w:p w14:paraId="61EBA944" w14:textId="77777777" w:rsidR="00B03B17" w:rsidRDefault="00B03B17" w:rsidP="00B03B17">
      <w:pPr>
        <w:pStyle w:val="NormalWeb"/>
      </w:pPr>
      <w:r>
        <w:rPr>
          <w:lang w:val="en-GB"/>
        </w:rPr>
        <w:t>11.</w:t>
      </w:r>
      <w:r>
        <w:rPr>
          <w:rFonts w:ascii="Times New Roman" w:hAnsi="Times New Roman"/>
          <w:sz w:val="14"/>
          <w:szCs w:val="14"/>
          <w:lang w:val="en-GB"/>
        </w:rPr>
        <w:t xml:space="preserve">  </w:t>
      </w:r>
      <w:r>
        <w:rPr>
          <w:lang w:val="en-GB"/>
        </w:rPr>
        <w:t>Section 5.3.4 (3) – The EGI Software Repository must be mentioned as an approved software distribution channel.</w:t>
      </w:r>
      <w:r>
        <w:rPr>
          <w:lang w:val="en-GB"/>
        </w:rPr>
        <w:br/>
        <w:t>Applies to: EGI draft</w:t>
      </w:r>
    </w:p>
    <w:p w14:paraId="28C96FB2" w14:textId="77777777" w:rsidR="00B03B17" w:rsidRDefault="00B03B17" w:rsidP="00B03B17">
      <w:pPr>
        <w:pStyle w:val="NormalWeb"/>
      </w:pPr>
      <w:r>
        <w:rPr>
          <w:lang w:val="en-GB"/>
        </w:rPr>
        <w:t>12.</w:t>
      </w:r>
      <w:r>
        <w:rPr>
          <w:rFonts w:ascii="Times New Roman" w:hAnsi="Times New Roman"/>
          <w:sz w:val="14"/>
          <w:szCs w:val="14"/>
          <w:lang w:val="en-GB"/>
        </w:rPr>
        <w:t xml:space="preserve">  </w:t>
      </w:r>
      <w:r>
        <w:rPr>
          <w:lang w:val="en-GB"/>
        </w:rPr>
        <w:t xml:space="preserve">Section 5.4 – Reference to EMI Support Plan (links to document on the EMI website) is non-functional. </w:t>
      </w:r>
      <w:proofErr w:type="gramStart"/>
      <w:r>
        <w:rPr>
          <w:lang w:val="en-GB"/>
        </w:rPr>
        <w:t>Critical for further review and acceptance of the SLA.</w:t>
      </w:r>
      <w:proofErr w:type="gramEnd"/>
      <w:r>
        <w:rPr>
          <w:lang w:val="en-GB"/>
        </w:rPr>
        <w:br/>
        <w:t>Applies to: SLA template, EGI draft</w:t>
      </w:r>
    </w:p>
    <w:p w14:paraId="52CEB8E9" w14:textId="77777777" w:rsidR="00B03B17" w:rsidRDefault="00B03B17" w:rsidP="00B03B17">
      <w:pPr>
        <w:pStyle w:val="NormalWeb"/>
      </w:pPr>
      <w:r>
        <w:rPr>
          <w:lang w:val="en-GB"/>
        </w:rPr>
        <w:t>13.</w:t>
      </w:r>
      <w:r>
        <w:rPr>
          <w:rFonts w:ascii="Times New Roman" w:hAnsi="Times New Roman"/>
          <w:sz w:val="14"/>
          <w:szCs w:val="14"/>
          <w:lang w:val="en-GB"/>
        </w:rPr>
        <w:t xml:space="preserve">  </w:t>
      </w:r>
      <w:r>
        <w:rPr>
          <w:lang w:val="en-GB"/>
        </w:rPr>
        <w:t>Section 5.4 paragraph 2, section 5.4.1 – The paragraphs suggest that EMI wishes to use GGUS as part of their generic service offering to all its customers. GGUS clearly belongs to EGI, and any EMI service offering using GGUS for customers other than EGI must be covered with an appropriate SLA. Otherwise any reference to GGUS as third level tool for support must be moved into the Annex specific to the EGI draft.</w:t>
      </w:r>
      <w:r>
        <w:rPr>
          <w:lang w:val="en-GB"/>
        </w:rPr>
        <w:br/>
        <w:t>Applies to: SLA template, EGI draft</w:t>
      </w:r>
    </w:p>
    <w:p w14:paraId="5F9893CA" w14:textId="77777777" w:rsidR="00B03B17" w:rsidRDefault="00B03B17" w:rsidP="00B03B17">
      <w:pPr>
        <w:pStyle w:val="NormalWeb"/>
      </w:pPr>
      <w:r>
        <w:rPr>
          <w:lang w:val="en-GB"/>
        </w:rPr>
        <w:t>14.</w:t>
      </w:r>
      <w:r>
        <w:rPr>
          <w:rFonts w:ascii="Times New Roman" w:hAnsi="Times New Roman"/>
          <w:sz w:val="14"/>
          <w:szCs w:val="14"/>
          <w:lang w:val="en-GB"/>
        </w:rPr>
        <w:t xml:space="preserve">  </w:t>
      </w:r>
      <w:r>
        <w:rPr>
          <w:lang w:val="en-GB"/>
        </w:rPr>
        <w:t xml:space="preserve">Section 5.4 </w:t>
      </w:r>
      <w:proofErr w:type="gramStart"/>
      <w:r>
        <w:rPr>
          <w:lang w:val="en-GB"/>
        </w:rPr>
        <w:t>paragraph</w:t>
      </w:r>
      <w:proofErr w:type="gramEnd"/>
      <w:r>
        <w:rPr>
          <w:lang w:val="en-GB"/>
        </w:rPr>
        <w:t xml:space="preserve"> 3 – EMI internal tracking systems and processes of problem and incident management are of relevance only to EMI and therefore not part of the interface between EGI and EMI (or any other customer of EMI, unless agreed as being part of the interface). Therefore the relevant sections must be removed from the paragraph. The agreed interface between EGI and EMI for 3</w:t>
      </w:r>
      <w:r>
        <w:rPr>
          <w:vertAlign w:val="superscript"/>
          <w:lang w:val="en-GB"/>
        </w:rPr>
        <w:t>rd</w:t>
      </w:r>
      <w:r>
        <w:rPr>
          <w:lang w:val="en-GB"/>
        </w:rPr>
        <w:t xml:space="preserve"> level support is GGUS, and therefore formal communication and responses of available updates to issues reported in GGUS must be given in the relevant GGUS ticket(s).</w:t>
      </w:r>
      <w:r>
        <w:rPr>
          <w:lang w:val="en-GB"/>
        </w:rPr>
        <w:br/>
        <w:t>Applies to: SLA template, EGI draft</w:t>
      </w:r>
    </w:p>
    <w:p w14:paraId="7B6AA1B8" w14:textId="77777777" w:rsidR="00B03B17" w:rsidRDefault="00B03B17" w:rsidP="00B03B17">
      <w:pPr>
        <w:pStyle w:val="NormalWeb"/>
      </w:pPr>
      <w:r>
        <w:rPr>
          <w:lang w:val="en-GB"/>
        </w:rPr>
        <w:t>15.</w:t>
      </w:r>
      <w:r>
        <w:rPr>
          <w:rFonts w:ascii="Times New Roman" w:hAnsi="Times New Roman"/>
          <w:sz w:val="14"/>
          <w:szCs w:val="14"/>
          <w:lang w:val="en-GB"/>
        </w:rPr>
        <w:t xml:space="preserve">  </w:t>
      </w:r>
      <w:r>
        <w:rPr>
          <w:lang w:val="en-GB"/>
        </w:rPr>
        <w:t>Section 6.1 – Telephone support should be added as a tertiary support channel, available only on demand. Web support should remain primary support channel, and Email support should remain secondary support channel.</w:t>
      </w:r>
      <w:r>
        <w:rPr>
          <w:lang w:val="en-GB"/>
        </w:rPr>
        <w:br/>
        <w:t>Applies to: SLA template, EGI draft</w:t>
      </w:r>
    </w:p>
    <w:p w14:paraId="44CAFAEB" w14:textId="77777777" w:rsidR="00B03B17" w:rsidRDefault="00B03B17" w:rsidP="00B03B17">
      <w:pPr>
        <w:pStyle w:val="NormalWeb"/>
      </w:pPr>
      <w:r>
        <w:rPr>
          <w:lang w:val="en-GB"/>
        </w:rPr>
        <w:t>16.</w:t>
      </w:r>
      <w:r>
        <w:rPr>
          <w:rFonts w:ascii="Times New Roman" w:hAnsi="Times New Roman"/>
          <w:sz w:val="14"/>
          <w:szCs w:val="14"/>
          <w:lang w:val="en-GB"/>
        </w:rPr>
        <w:t xml:space="preserve">  </w:t>
      </w:r>
      <w:r>
        <w:rPr>
          <w:lang w:val="en-GB"/>
        </w:rPr>
        <w:t>Section 6.2 – The guaranteed response times for issues of severity levels 2, 3 and 4 seem too long, and customers may consider EMI unresponsive based on the provided times.</w:t>
      </w:r>
      <w:r>
        <w:rPr>
          <w:lang w:val="en-GB"/>
        </w:rPr>
        <w:br/>
        <w:t>EGI as a specific customer accepts response times of: 1 day (24 hours) for severity 2, 5 working days for severity 3, and 20 working days for severity 4 service requests.</w:t>
      </w:r>
      <w:r>
        <w:rPr>
          <w:lang w:val="en-GB"/>
        </w:rPr>
        <w:br/>
        <w:t>Applies to: SLA template, EGI draft</w:t>
      </w:r>
    </w:p>
    <w:p w14:paraId="3A08D294" w14:textId="77777777" w:rsidR="00B03B17" w:rsidRDefault="00B03B17" w:rsidP="00B03B17">
      <w:pPr>
        <w:pStyle w:val="NormalWeb"/>
      </w:pPr>
      <w:r>
        <w:rPr>
          <w:lang w:val="en-GB"/>
        </w:rPr>
        <w:t>17.</w:t>
      </w:r>
      <w:r>
        <w:rPr>
          <w:rFonts w:ascii="Times New Roman" w:hAnsi="Times New Roman"/>
          <w:sz w:val="14"/>
          <w:szCs w:val="14"/>
          <w:lang w:val="en-GB"/>
        </w:rPr>
        <w:t xml:space="preserve">  </w:t>
      </w:r>
      <w:r>
        <w:rPr>
          <w:lang w:val="en-GB"/>
        </w:rPr>
        <w:t>Section 6.2, Service requests with severity 4 – The EGI DMSU is considered responsible for assessing Service Requests of this severity and feed them (or parts thereof) as requirements in the Requirements assessing process in EGI’s TCB.</w:t>
      </w:r>
      <w:r>
        <w:rPr>
          <w:lang w:val="en-GB"/>
        </w:rPr>
        <w:br/>
        <w:t>Applies to: EGI draft</w:t>
      </w:r>
    </w:p>
    <w:p w14:paraId="7F833CFF" w14:textId="77777777" w:rsidR="00B03B17" w:rsidRDefault="00B03B17" w:rsidP="00B03B17">
      <w:pPr>
        <w:pStyle w:val="NormalWeb"/>
      </w:pPr>
      <w:r>
        <w:rPr>
          <w:lang w:val="en-GB"/>
        </w:rPr>
        <w:t>18.</w:t>
      </w:r>
      <w:r>
        <w:rPr>
          <w:rFonts w:ascii="Times New Roman" w:hAnsi="Times New Roman"/>
          <w:sz w:val="14"/>
          <w:szCs w:val="14"/>
          <w:lang w:val="en-GB"/>
        </w:rPr>
        <w:t xml:space="preserve">  </w:t>
      </w:r>
      <w:r>
        <w:rPr>
          <w:lang w:val="en-GB"/>
        </w:rPr>
        <w:t>Section 6.3 – This touches issue 13, EMI considering GGUS as part of its general service offering, and therefore needs clarification.</w:t>
      </w:r>
      <w:r>
        <w:rPr>
          <w:lang w:val="en-GB"/>
        </w:rPr>
        <w:br/>
        <w:t>Applies to: SLA template, EGI draft</w:t>
      </w:r>
    </w:p>
    <w:p w14:paraId="0D225C6F" w14:textId="77777777" w:rsidR="00B03B17" w:rsidRPr="00B03B17" w:rsidRDefault="00B03B17" w:rsidP="00B03B17"/>
    <w:p w14:paraId="708DD7A2" w14:textId="77777777" w:rsidR="004135EB" w:rsidRDefault="004135EB" w:rsidP="004135EB">
      <w:pPr>
        <w:jc w:val="left"/>
      </w:pPr>
    </w:p>
    <w:sectPr w:rsidR="004135EB"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ichel Drescher" w:date="2011-03-30T12:45:00Z" w:initials="MD">
    <w:p w14:paraId="589A8DC3" w14:textId="67EF63C6" w:rsidR="00BC4073" w:rsidRDefault="00BC4073">
      <w:pPr>
        <w:pStyle w:val="CommentText"/>
      </w:pPr>
      <w:r>
        <w:rPr>
          <w:rStyle w:val="CommentReference"/>
        </w:rPr>
        <w:annotationRef/>
      </w:r>
      <w:r>
        <w:t>Issues 14, 15: Demanding attendance is dangerous. It is strongly advised, but cannot be demanded.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F419" w14:textId="77777777" w:rsidR="00B21F01" w:rsidRDefault="00B21F01">
      <w:pPr>
        <w:spacing w:before="0" w:after="0"/>
      </w:pPr>
      <w:r>
        <w:separator/>
      </w:r>
    </w:p>
  </w:endnote>
  <w:endnote w:type="continuationSeparator" w:id="0">
    <w:p w14:paraId="5ABF8433" w14:textId="77777777" w:rsidR="00B21F01" w:rsidRDefault="00B21F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6BC8" w14:textId="77777777" w:rsidR="00F35FA8" w:rsidRDefault="00F35F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86B7" w14:textId="77777777" w:rsidR="00B21F01" w:rsidRDefault="00B21F0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B21F01" w14:paraId="4063DBD3" w14:textId="77777777">
      <w:tc>
        <w:tcPr>
          <w:tcW w:w="2764" w:type="dxa"/>
          <w:tcBorders>
            <w:top w:val="single" w:sz="8" w:space="0" w:color="000080"/>
          </w:tcBorders>
        </w:tcPr>
        <w:p w14:paraId="06E6F081" w14:textId="724090F0" w:rsidR="00B21F01" w:rsidRPr="0078770C" w:rsidRDefault="00F35FA8">
          <w:pPr>
            <w:pStyle w:val="Footer"/>
            <w:rPr>
              <w:sz w:val="18"/>
              <w:szCs w:val="18"/>
            </w:rPr>
          </w:pPr>
          <w:r>
            <w:rPr>
              <w:sz w:val="18"/>
              <w:szCs w:val="18"/>
            </w:rPr>
            <w:fldChar w:fldCharType="begin"/>
          </w:r>
          <w:r>
            <w:rPr>
              <w:sz w:val="18"/>
              <w:szCs w:val="18"/>
            </w:rPr>
            <w:instrText xml:space="preserve"> SAVEDATE \@ "d MMMM yyyy" \* MERGEFORMAT </w:instrText>
          </w:r>
          <w:r>
            <w:rPr>
              <w:sz w:val="18"/>
              <w:szCs w:val="18"/>
            </w:rPr>
            <w:fldChar w:fldCharType="separate"/>
          </w:r>
          <w:r>
            <w:rPr>
              <w:noProof/>
              <w:sz w:val="18"/>
              <w:szCs w:val="18"/>
            </w:rPr>
            <w:t>8 April 2011</w:t>
          </w:r>
          <w:r>
            <w:rPr>
              <w:sz w:val="18"/>
              <w:szCs w:val="18"/>
            </w:rPr>
            <w:fldChar w:fldCharType="end"/>
          </w:r>
          <w:bookmarkStart w:id="0" w:name="_GoBack"/>
          <w:bookmarkEnd w:id="0"/>
        </w:p>
      </w:tc>
      <w:tc>
        <w:tcPr>
          <w:tcW w:w="3827" w:type="dxa"/>
          <w:tcBorders>
            <w:top w:val="single" w:sz="8" w:space="0" w:color="000080"/>
          </w:tcBorders>
        </w:tcPr>
        <w:p w14:paraId="64A5260E" w14:textId="0BA83E5C" w:rsidR="00B21F01" w:rsidRPr="0078770C" w:rsidRDefault="00F35FA8" w:rsidP="00207D16">
          <w:pPr>
            <w:pStyle w:val="Footer"/>
            <w:jc w:val="center"/>
            <w:rPr>
              <w:color w:val="000000"/>
              <w:sz w:val="18"/>
              <w:szCs w:val="18"/>
            </w:rPr>
          </w:pPr>
          <w:r w:rsidRPr="00F35FA8">
            <w:rPr>
              <w:color w:val="000000"/>
              <w:sz w:val="18"/>
              <w:szCs w:val="18"/>
            </w:rPr>
            <w:t>https://documents.egi.eu/document/461</w:t>
          </w:r>
        </w:p>
      </w:tc>
      <w:tc>
        <w:tcPr>
          <w:tcW w:w="1559" w:type="dxa"/>
          <w:tcBorders>
            <w:top w:val="single" w:sz="8" w:space="0" w:color="000080"/>
          </w:tcBorders>
        </w:tcPr>
        <w:p w14:paraId="2EB1D2D6" w14:textId="7F04FFE2" w:rsidR="00B21F01" w:rsidRDefault="00B21F01">
          <w:pPr>
            <w:pStyle w:val="Footer"/>
            <w:jc w:val="center"/>
            <w:rPr>
              <w:caps/>
            </w:rPr>
          </w:pPr>
        </w:p>
      </w:tc>
      <w:tc>
        <w:tcPr>
          <w:tcW w:w="992" w:type="dxa"/>
          <w:tcBorders>
            <w:top w:val="single" w:sz="8" w:space="0" w:color="000080"/>
          </w:tcBorders>
        </w:tcPr>
        <w:p w14:paraId="76F216DC" w14:textId="77777777" w:rsidR="00B21F01" w:rsidRDefault="00B21F01">
          <w:pPr>
            <w:pStyle w:val="Footer"/>
            <w:jc w:val="right"/>
          </w:pPr>
          <w:r>
            <w:fldChar w:fldCharType="begin"/>
          </w:r>
          <w:r>
            <w:instrText xml:space="preserve"> PAGE  \* MERGEFORMAT </w:instrText>
          </w:r>
          <w:r>
            <w:fldChar w:fldCharType="separate"/>
          </w:r>
          <w:r w:rsidR="00F35FA8">
            <w:rPr>
              <w:noProof/>
            </w:rPr>
            <w:t>1</w:t>
          </w:r>
          <w:r>
            <w:fldChar w:fldCharType="end"/>
          </w:r>
          <w:r>
            <w:t xml:space="preserve"> / </w:t>
          </w:r>
          <w:r w:rsidR="00F35FA8">
            <w:fldChar w:fldCharType="begin"/>
          </w:r>
          <w:r w:rsidR="00F35FA8">
            <w:instrText xml:space="preserve"> NUMPAGES  \* MERGEFORMAT </w:instrText>
          </w:r>
          <w:r w:rsidR="00F35FA8">
            <w:fldChar w:fldCharType="separate"/>
          </w:r>
          <w:r w:rsidR="00F35FA8">
            <w:rPr>
              <w:noProof/>
            </w:rPr>
            <w:t>11</w:t>
          </w:r>
          <w:r w:rsidR="00F35FA8">
            <w:rPr>
              <w:noProof/>
            </w:rPr>
            <w:fldChar w:fldCharType="end"/>
          </w:r>
        </w:p>
      </w:tc>
    </w:tr>
  </w:tbl>
  <w:p w14:paraId="51F508B0" w14:textId="77777777" w:rsidR="00B21F01" w:rsidRDefault="00B21F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E702" w14:textId="77777777" w:rsidR="00F35FA8" w:rsidRDefault="00F35F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C17E7" w14:textId="77777777" w:rsidR="00B21F01" w:rsidRDefault="00B21F01">
      <w:pPr>
        <w:spacing w:before="0" w:after="0"/>
      </w:pPr>
      <w:r>
        <w:separator/>
      </w:r>
    </w:p>
  </w:footnote>
  <w:footnote w:type="continuationSeparator" w:id="0">
    <w:p w14:paraId="371C6920" w14:textId="77777777" w:rsidR="00B21F01" w:rsidRDefault="00B21F0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2D86" w14:textId="77777777" w:rsidR="00F35FA8" w:rsidRDefault="00F35F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B21F01" w14:paraId="0A4A97F6" w14:textId="77777777">
      <w:trPr>
        <w:trHeight w:val="1131"/>
      </w:trPr>
      <w:tc>
        <w:tcPr>
          <w:tcW w:w="2559" w:type="dxa"/>
        </w:tcPr>
        <w:p w14:paraId="1EC27E6C" w14:textId="77777777" w:rsidR="00B21F01" w:rsidRDefault="00B21F01" w:rsidP="00207D16">
          <w:pPr>
            <w:pStyle w:val="Header"/>
            <w:tabs>
              <w:tab w:val="right" w:pos="9072"/>
            </w:tabs>
            <w:jc w:val="left"/>
          </w:pPr>
          <w:r>
            <w:rPr>
              <w:noProof/>
              <w:lang w:val="en-US" w:eastAsia="en-US"/>
            </w:rPr>
            <w:drawing>
              <wp:inline distT="0" distB="0" distL="0" distR="0" wp14:anchorId="276FD44F" wp14:editId="08309479">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2678CA48" w14:textId="77777777" w:rsidR="00B21F01" w:rsidRDefault="00B21F01" w:rsidP="00207D16">
          <w:pPr>
            <w:pStyle w:val="Header"/>
            <w:tabs>
              <w:tab w:val="right" w:pos="9072"/>
            </w:tabs>
            <w:jc w:val="center"/>
          </w:pPr>
          <w:r>
            <w:rPr>
              <w:noProof/>
              <w:lang w:val="en-US" w:eastAsia="en-US"/>
            </w:rPr>
            <w:drawing>
              <wp:inline distT="0" distB="0" distL="0" distR="0" wp14:anchorId="4ABC9B28" wp14:editId="40992606">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02F4F43E" w14:textId="77777777" w:rsidR="00B21F01" w:rsidRDefault="00B21F01" w:rsidP="00207D16">
          <w:pPr>
            <w:pStyle w:val="Header"/>
            <w:tabs>
              <w:tab w:val="right" w:pos="9072"/>
            </w:tabs>
            <w:jc w:val="right"/>
          </w:pPr>
          <w:r>
            <w:rPr>
              <w:noProof/>
              <w:lang w:val="en-US" w:eastAsia="en-US"/>
            </w:rPr>
            <w:drawing>
              <wp:inline distT="0" distB="0" distL="0" distR="0" wp14:anchorId="4E547B83" wp14:editId="1A13276F">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6AB47D00" w14:textId="77777777" w:rsidR="00B21F01" w:rsidRDefault="00B21F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939D" w14:textId="77777777" w:rsidR="00F35FA8" w:rsidRDefault="00F35F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B03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9A93E39"/>
    <w:multiLevelType w:val="hybridMultilevel"/>
    <w:tmpl w:val="C82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1F62"/>
    <w:multiLevelType w:val="hybridMultilevel"/>
    <w:tmpl w:val="94F86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0B3DCF"/>
    <w:multiLevelType w:val="hybridMultilevel"/>
    <w:tmpl w:val="E832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7F5178A"/>
    <w:multiLevelType w:val="hybridMultilevel"/>
    <w:tmpl w:val="5A7E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7"/>
  </w:num>
  <w:num w:numId="2">
    <w:abstractNumId w:val="31"/>
  </w:num>
  <w:num w:numId="3">
    <w:abstractNumId w:val="11"/>
  </w:num>
  <w:num w:numId="4">
    <w:abstractNumId w:val="14"/>
  </w:num>
  <w:num w:numId="5">
    <w:abstractNumId w:val="35"/>
  </w:num>
  <w:num w:numId="6">
    <w:abstractNumId w:val="22"/>
  </w:num>
  <w:num w:numId="7">
    <w:abstractNumId w:val="1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32"/>
  </w:num>
  <w:num w:numId="12">
    <w:abstractNumId w:val="1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
  </w:num>
  <w:num w:numId="22">
    <w:abstractNumId w:val="33"/>
  </w:num>
  <w:num w:numId="23">
    <w:abstractNumId w:val="3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7"/>
  </w:num>
  <w:num w:numId="28">
    <w:abstractNumId w:val="6"/>
  </w:num>
  <w:num w:numId="29">
    <w:abstractNumId w:val="30"/>
  </w:num>
  <w:num w:numId="30">
    <w:abstractNumId w:val="38"/>
  </w:num>
  <w:num w:numId="31">
    <w:abstractNumId w:val="9"/>
  </w:num>
  <w:num w:numId="32">
    <w:abstractNumId w:val="1"/>
  </w:num>
  <w:num w:numId="33">
    <w:abstractNumId w:val="24"/>
  </w:num>
  <w:num w:numId="34">
    <w:abstractNumId w:val="15"/>
  </w:num>
  <w:num w:numId="35">
    <w:abstractNumId w:val="36"/>
  </w:num>
  <w:num w:numId="36">
    <w:abstractNumId w:val="17"/>
  </w:num>
  <w:num w:numId="37">
    <w:abstractNumId w:val="25"/>
  </w:num>
  <w:num w:numId="38">
    <w:abstractNumId w:val="29"/>
  </w:num>
  <w:num w:numId="39">
    <w:abstractNumId w:val="12"/>
  </w:num>
  <w:num w:numId="40">
    <w:abstractNumId w:val="0"/>
  </w:num>
  <w:num w:numId="41">
    <w:abstractNumId w:val="16"/>
  </w:num>
  <w:num w:numId="42">
    <w:abstractNumId w:val="27"/>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D8"/>
    <w:rsid w:val="000E2C06"/>
    <w:rsid w:val="001874EA"/>
    <w:rsid w:val="001F656F"/>
    <w:rsid w:val="002073BD"/>
    <w:rsid w:val="00207D16"/>
    <w:rsid w:val="002B1814"/>
    <w:rsid w:val="00324631"/>
    <w:rsid w:val="004117C5"/>
    <w:rsid w:val="004135EB"/>
    <w:rsid w:val="00465606"/>
    <w:rsid w:val="004C4550"/>
    <w:rsid w:val="004D7296"/>
    <w:rsid w:val="00513C8C"/>
    <w:rsid w:val="005727B8"/>
    <w:rsid w:val="005C736B"/>
    <w:rsid w:val="0061420A"/>
    <w:rsid w:val="00680A46"/>
    <w:rsid w:val="007312D3"/>
    <w:rsid w:val="00782DBB"/>
    <w:rsid w:val="007A3EDF"/>
    <w:rsid w:val="007C6690"/>
    <w:rsid w:val="007D79D8"/>
    <w:rsid w:val="00827FA9"/>
    <w:rsid w:val="00844191"/>
    <w:rsid w:val="00873D61"/>
    <w:rsid w:val="00894E68"/>
    <w:rsid w:val="008C19A2"/>
    <w:rsid w:val="008D5E13"/>
    <w:rsid w:val="00905E69"/>
    <w:rsid w:val="00AE6ED9"/>
    <w:rsid w:val="00B03B17"/>
    <w:rsid w:val="00B1677B"/>
    <w:rsid w:val="00B21F01"/>
    <w:rsid w:val="00BC4073"/>
    <w:rsid w:val="00CB742D"/>
    <w:rsid w:val="00DE08A0"/>
    <w:rsid w:val="00E435B6"/>
    <w:rsid w:val="00E6423F"/>
    <w:rsid w:val="00F32DA5"/>
    <w:rsid w:val="00F35F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45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AE6ED9"/>
    <w:pPr>
      <w:ind w:left="720"/>
      <w:contextualSpacing/>
    </w:pPr>
  </w:style>
  <w:style w:type="table" w:styleId="TableGrid">
    <w:name w:val="Table Grid"/>
    <w:basedOn w:val="TableNormal"/>
    <w:rsid w:val="00AE6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C736B"/>
    <w:pPr>
      <w:spacing w:after="40"/>
    </w:pPr>
    <w:rPr>
      <w:b/>
      <w:bCs/>
      <w:sz w:val="20"/>
      <w:lang w:val="en-GB"/>
    </w:rPr>
  </w:style>
  <w:style w:type="character" w:customStyle="1" w:styleId="CommentSubjectChar">
    <w:name w:val="Comment Subject Char"/>
    <w:basedOn w:val="CommentTextChar"/>
    <w:link w:val="CommentSubject"/>
    <w:rsid w:val="005C736B"/>
    <w:rPr>
      <w:rFonts w:ascii="Times New Roman" w:eastAsia="Times New Roman" w:hAnsi="Times New Roman"/>
      <w:b/>
      <w:bCs/>
      <w:sz w:val="16"/>
      <w:lang w:val="en-GB" w:eastAsia="fr-FR"/>
    </w:rPr>
  </w:style>
  <w:style w:type="paragraph" w:styleId="NormalWeb">
    <w:name w:val="Normal (Web)"/>
    <w:basedOn w:val="Normal"/>
    <w:uiPriority w:val="99"/>
    <w:unhideWhenUsed/>
    <w:rsid w:val="00B03B17"/>
    <w:pPr>
      <w:suppressAutoHyphens w:val="0"/>
      <w:spacing w:before="100" w:beforeAutospacing="1" w:after="100" w:afterAutospacing="1"/>
      <w:jc w:val="left"/>
    </w:pPr>
    <w:rPr>
      <w:rFonts w:ascii="Times" w:eastAsia="Cambria" w:hAnsi="Times"/>
      <w:sz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AE6ED9"/>
    <w:pPr>
      <w:ind w:left="720"/>
      <w:contextualSpacing/>
    </w:pPr>
  </w:style>
  <w:style w:type="table" w:styleId="TableGrid">
    <w:name w:val="Table Grid"/>
    <w:basedOn w:val="TableNormal"/>
    <w:rsid w:val="00AE6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C736B"/>
    <w:pPr>
      <w:spacing w:after="40"/>
    </w:pPr>
    <w:rPr>
      <w:b/>
      <w:bCs/>
      <w:sz w:val="20"/>
      <w:lang w:val="en-GB"/>
    </w:rPr>
  </w:style>
  <w:style w:type="character" w:customStyle="1" w:styleId="CommentSubjectChar">
    <w:name w:val="Comment Subject Char"/>
    <w:basedOn w:val="CommentTextChar"/>
    <w:link w:val="CommentSubject"/>
    <w:rsid w:val="005C736B"/>
    <w:rPr>
      <w:rFonts w:ascii="Times New Roman" w:eastAsia="Times New Roman" w:hAnsi="Times New Roman"/>
      <w:b/>
      <w:bCs/>
      <w:sz w:val="16"/>
      <w:lang w:val="en-GB" w:eastAsia="fr-FR"/>
    </w:rPr>
  </w:style>
  <w:style w:type="paragraph" w:styleId="NormalWeb">
    <w:name w:val="Normal (Web)"/>
    <w:basedOn w:val="Normal"/>
    <w:uiPriority w:val="99"/>
    <w:unhideWhenUsed/>
    <w:rsid w:val="00B03B17"/>
    <w:pPr>
      <w:suppressAutoHyphens w:val="0"/>
      <w:spacing w:before="100" w:beforeAutospacing="1" w:after="100" w:afterAutospacing="1"/>
      <w:jc w:val="left"/>
    </w:pPr>
    <w:rPr>
      <w:rFonts w:ascii="Times" w:eastAsia="Cambria" w:hAnsi="Time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8508">
      <w:bodyDiv w:val="1"/>
      <w:marLeft w:val="0"/>
      <w:marRight w:val="0"/>
      <w:marTop w:val="0"/>
      <w:marBottom w:val="0"/>
      <w:divBdr>
        <w:top w:val="none" w:sz="0" w:space="0" w:color="auto"/>
        <w:left w:val="none" w:sz="0" w:space="0" w:color="auto"/>
        <w:bottom w:val="none" w:sz="0" w:space="0" w:color="auto"/>
        <w:right w:val="none" w:sz="0" w:space="0" w:color="auto"/>
      </w:divBdr>
    </w:div>
    <w:div w:id="1667438748">
      <w:bodyDiv w:val="1"/>
      <w:marLeft w:val="0"/>
      <w:marRight w:val="0"/>
      <w:marTop w:val="0"/>
      <w:marBottom w:val="0"/>
      <w:divBdr>
        <w:top w:val="none" w:sz="0" w:space="0" w:color="auto"/>
        <w:left w:val="none" w:sz="0" w:space="0" w:color="auto"/>
        <w:bottom w:val="none" w:sz="0" w:space="0" w:color="auto"/>
        <w:right w:val="none" w:sz="0" w:space="0" w:color="auto"/>
      </w:divBdr>
      <w:divsChild>
        <w:div w:id="1324511331">
          <w:blockQuote w:val="1"/>
          <w:marLeft w:val="96"/>
          <w:marRight w:val="0"/>
          <w:marTop w:val="0"/>
          <w:marBottom w:val="0"/>
          <w:divBdr>
            <w:top w:val="none" w:sz="0" w:space="0" w:color="auto"/>
            <w:left w:val="single" w:sz="6" w:space="6" w:color="CCCCCC"/>
            <w:bottom w:val="none" w:sz="0" w:space="0" w:color="auto"/>
            <w:right w:val="none" w:sz="0" w:space="0" w:color="auto"/>
          </w:divBdr>
        </w:div>
        <w:div w:id="10996409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64</TotalTime>
  <Pages>11</Pages>
  <Words>3129</Words>
  <Characters>17839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20927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8</cp:revision>
  <cp:lastPrinted>2011-03-30T10:01:00Z</cp:lastPrinted>
  <dcterms:created xsi:type="dcterms:W3CDTF">2011-03-30T09:42:00Z</dcterms:created>
  <dcterms:modified xsi:type="dcterms:W3CDTF">2011-04-08T15:57:00Z</dcterms:modified>
</cp:coreProperties>
</file>