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F38F0" w14:textId="77777777" w:rsidR="00654859" w:rsidRPr="001B7332" w:rsidRDefault="00654859">
      <w:pPr>
        <w:rPr>
          <w:rFonts w:ascii="Calibri" w:hAnsi="Calibri" w:cs="Calibri"/>
        </w:rPr>
      </w:pPr>
    </w:p>
    <w:p w14:paraId="26A828E1" w14:textId="77777777" w:rsidR="00654859" w:rsidRPr="001B7332" w:rsidRDefault="00654859" w:rsidP="00654859">
      <w:pPr>
        <w:rPr>
          <w:rFonts w:ascii="Calibri" w:hAnsi="Calibri" w:cs="Calibri"/>
        </w:rPr>
      </w:pPr>
    </w:p>
    <w:p w14:paraId="1C35037A" w14:textId="77777777" w:rsidR="00654859" w:rsidRPr="001B7332" w:rsidRDefault="00654859" w:rsidP="00654859">
      <w:pPr>
        <w:rPr>
          <w:rFonts w:ascii="Calibri" w:hAnsi="Calibri" w:cs="Calibri"/>
        </w:rPr>
      </w:pPr>
    </w:p>
    <w:p w14:paraId="38D31A97" w14:textId="77777777" w:rsidR="00654859" w:rsidRPr="001B7332" w:rsidRDefault="007246D8" w:rsidP="00654859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color w:val="000080"/>
          <w:spacing w:val="80"/>
          <w:sz w:val="60"/>
        </w:rPr>
      </w:pPr>
      <w:r>
        <w:rPr>
          <w:rFonts w:ascii="Calibri" w:hAnsi="Calibri" w:cs="Calibri"/>
          <w:b/>
          <w:color w:val="000080"/>
          <w:spacing w:val="80"/>
          <w:sz w:val="60"/>
        </w:rPr>
        <w:t>MoU – Milestone Report</w:t>
      </w:r>
    </w:p>
    <w:p w14:paraId="15AFE056" w14:textId="77777777" w:rsidR="00654859" w:rsidRPr="001B7332" w:rsidRDefault="00654859" w:rsidP="00654859">
      <w:pPr>
        <w:rPr>
          <w:rFonts w:ascii="Calibri" w:hAnsi="Calibri" w:cs="Calibri"/>
        </w:rPr>
      </w:pPr>
    </w:p>
    <w:p w14:paraId="173DEFAD" w14:textId="77777777" w:rsidR="00654859" w:rsidRPr="001B7332" w:rsidRDefault="00654859" w:rsidP="00654859">
      <w:pPr>
        <w:rPr>
          <w:rFonts w:ascii="Calibri" w:hAnsi="Calibri" w:cs="Calibri"/>
        </w:rPr>
      </w:pPr>
    </w:p>
    <w:p w14:paraId="3E208EAC" w14:textId="2F77BC8A" w:rsidR="00654859" w:rsidRPr="001B7332" w:rsidRDefault="00D02BA5" w:rsidP="00654859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Dissemination Report </w:t>
      </w:r>
      <w:r>
        <w:rPr>
          <w:rFonts w:ascii="Calibri" w:hAnsi="Calibri" w:cs="Calibri"/>
          <w:color w:val="000000"/>
        </w:rPr>
        <w:br/>
        <w:t>(to Dec/Nov 2011)</w:t>
      </w:r>
    </w:p>
    <w:p w14:paraId="020E39A0" w14:textId="77777777" w:rsidR="00654859" w:rsidRPr="001B7332" w:rsidRDefault="00654859" w:rsidP="00654859">
      <w:pPr>
        <w:rPr>
          <w:rFonts w:ascii="Calibri" w:hAnsi="Calibri" w:cs="Calibri"/>
        </w:rPr>
      </w:pPr>
    </w:p>
    <w:p w14:paraId="76C55A21" w14:textId="77777777" w:rsidR="00654859" w:rsidRPr="001B7332" w:rsidRDefault="00654859" w:rsidP="00654859">
      <w:pPr>
        <w:rPr>
          <w:rFonts w:ascii="Calibri" w:hAnsi="Calibri" w:cs="Calibri"/>
          <w:i/>
        </w:rPr>
      </w:pPr>
    </w:p>
    <w:p w14:paraId="0C1FAE3D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8361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5877"/>
      </w:tblGrid>
      <w:tr w:rsidR="00D406DE" w:rsidRPr="001B7332" w14:paraId="648DFB65" w14:textId="77777777">
        <w:trPr>
          <w:cantSplit/>
          <w:trHeight w:val="607"/>
          <w:jc w:val="center"/>
        </w:trPr>
        <w:tc>
          <w:tcPr>
            <w:tcW w:w="2484" w:type="dxa"/>
            <w:tcBorders>
              <w:top w:val="single" w:sz="24" w:space="0" w:color="000080"/>
            </w:tcBorders>
            <w:vAlign w:val="center"/>
          </w:tcPr>
          <w:p w14:paraId="366C0326" w14:textId="31367642" w:rsidR="00D406DE" w:rsidRPr="001B7332" w:rsidRDefault="00D406DE" w:rsidP="007246D8">
            <w:pPr>
              <w:spacing w:before="120" w:after="120"/>
              <w:rPr>
                <w:rFonts w:ascii="Calibri" w:hAnsi="Calibri" w:cs="Calibri"/>
                <w:b/>
              </w:rPr>
            </w:pPr>
            <w:r w:rsidRPr="001B7332">
              <w:rPr>
                <w:rFonts w:ascii="Calibri" w:hAnsi="Calibri" w:cs="Calibri"/>
              </w:rPr>
              <w:t>Document Link</w:t>
            </w:r>
          </w:p>
        </w:tc>
        <w:tc>
          <w:tcPr>
            <w:tcW w:w="5877" w:type="dxa"/>
            <w:tcBorders>
              <w:top w:val="single" w:sz="24" w:space="0" w:color="000080"/>
            </w:tcBorders>
            <w:vAlign w:val="center"/>
          </w:tcPr>
          <w:p w14:paraId="63D7B029" w14:textId="0D0B4EA5" w:rsidR="00D406DE" w:rsidRPr="001B7332" w:rsidRDefault="00D406DE" w:rsidP="004D2F8D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</w:rPr>
              <w:t>https://documents.egi.eu/</w:t>
            </w:r>
            <w:r w:rsidRPr="00B5540E">
              <w:rPr>
                <w:rFonts w:ascii="Calibri" w:hAnsi="Calibri" w:cs="Calibri"/>
              </w:rPr>
              <w:t>document/</w:t>
            </w:r>
            <w:r w:rsidR="004D2F8D" w:rsidRPr="00B5540E">
              <w:rPr>
                <w:rFonts w:ascii="Calibri" w:hAnsi="Calibri" w:cs="Calibri"/>
              </w:rPr>
              <w:t>938</w:t>
            </w:r>
          </w:p>
        </w:tc>
      </w:tr>
      <w:tr w:rsidR="00D406DE" w:rsidRPr="001B7332" w14:paraId="71CAB789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35F23E1D" w14:textId="315860E6" w:rsidR="00D406DE" w:rsidRPr="001B7332" w:rsidRDefault="00D406DE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Report by</w:t>
            </w:r>
          </w:p>
        </w:tc>
        <w:tc>
          <w:tcPr>
            <w:tcW w:w="5877" w:type="dxa"/>
            <w:vAlign w:val="center"/>
          </w:tcPr>
          <w:p w14:paraId="2945B202" w14:textId="72163D10" w:rsidR="00D406DE" w:rsidRPr="001B7332" w:rsidRDefault="00D02BA5" w:rsidP="00172AA4">
            <w:pPr>
              <w:rPr>
                <w:rFonts w:ascii="Calibri" w:hAnsi="Calibri" w:cs="Calibri"/>
                <w:highlight w:val="yellow"/>
              </w:rPr>
            </w:pPr>
            <w:r w:rsidRPr="00D02BA5">
              <w:rPr>
                <w:rFonts w:ascii="Calibri" w:hAnsi="Calibri" w:cs="Calibri"/>
              </w:rPr>
              <w:t>C Gater, EGI.eu</w:t>
            </w:r>
          </w:p>
        </w:tc>
      </w:tr>
      <w:tr w:rsidR="00D406DE" w:rsidRPr="001B7332" w14:paraId="6806F2B5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08F0078C" w14:textId="1B656618" w:rsidR="00D406DE" w:rsidRPr="001B7332" w:rsidRDefault="00D406DE">
            <w:pPr>
              <w:spacing w:before="120" w:after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  <w:snapToGrid w:val="0"/>
              </w:rPr>
              <w:t>Last Modified</w:t>
            </w:r>
          </w:p>
        </w:tc>
        <w:tc>
          <w:tcPr>
            <w:tcW w:w="5877" w:type="dxa"/>
            <w:vAlign w:val="center"/>
          </w:tcPr>
          <w:p w14:paraId="7B5E343D" w14:textId="31E4F55F" w:rsidR="00D406DE" w:rsidRPr="001B7332" w:rsidRDefault="00D02BA5" w:rsidP="006548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30/11/2011</w:t>
            </w:r>
          </w:p>
        </w:tc>
      </w:tr>
      <w:tr w:rsidR="00D406DE" w:rsidRPr="001B7332" w14:paraId="40E656C0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D99EEFB" w14:textId="570D20FC" w:rsidR="00D406DE" w:rsidRPr="007472ED" w:rsidRDefault="00D406DE" w:rsidP="00654859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7472ED">
              <w:rPr>
                <w:rFonts w:ascii="Calibri" w:hAnsi="Calibri" w:cs="Calibri"/>
                <w:snapToGrid w:val="0"/>
              </w:rPr>
              <w:t>Version</w:t>
            </w:r>
          </w:p>
        </w:tc>
        <w:tc>
          <w:tcPr>
            <w:tcW w:w="5877" w:type="dxa"/>
            <w:vAlign w:val="center"/>
          </w:tcPr>
          <w:p w14:paraId="4571FC3C" w14:textId="6AB733C0" w:rsidR="00D406DE" w:rsidRPr="007472ED" w:rsidRDefault="007472ED" w:rsidP="00654859">
            <w:pPr>
              <w:rPr>
                <w:rFonts w:ascii="Calibri" w:hAnsi="Calibri" w:cs="Calibri"/>
              </w:rPr>
            </w:pPr>
            <w:r w:rsidRPr="007472ED">
              <w:rPr>
                <w:rFonts w:ascii="Calibri" w:hAnsi="Calibri" w:cs="Calibri"/>
              </w:rPr>
              <w:t>V1</w:t>
            </w:r>
          </w:p>
        </w:tc>
      </w:tr>
      <w:tr w:rsidR="00D406DE" w:rsidRPr="001B7332" w14:paraId="2497A2E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5F9ACC21" w14:textId="6DC5A214" w:rsidR="00D406DE" w:rsidRPr="007472ED" w:rsidRDefault="00D406DE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7472ED">
              <w:rPr>
                <w:rFonts w:ascii="Calibri" w:hAnsi="Calibri" w:cs="Calibri"/>
                <w:snapToGrid w:val="0"/>
              </w:rPr>
              <w:t>Due Date</w:t>
            </w:r>
          </w:p>
        </w:tc>
        <w:tc>
          <w:tcPr>
            <w:tcW w:w="5877" w:type="dxa"/>
            <w:vAlign w:val="center"/>
          </w:tcPr>
          <w:p w14:paraId="5095F9A9" w14:textId="1D2D3179" w:rsidR="00D406DE" w:rsidRPr="007472ED" w:rsidRDefault="007472ED" w:rsidP="00654859">
            <w:pPr>
              <w:rPr>
                <w:rFonts w:ascii="Calibri" w:hAnsi="Calibri" w:cs="Calibri"/>
              </w:rPr>
            </w:pPr>
            <w:r w:rsidRPr="007472ED">
              <w:rPr>
                <w:rFonts w:ascii="Calibri" w:hAnsi="Calibri" w:cs="Calibri"/>
              </w:rPr>
              <w:t>11</w:t>
            </w:r>
            <w:r w:rsidR="00D406DE" w:rsidRPr="007472ED">
              <w:rPr>
                <w:rFonts w:ascii="Calibri" w:hAnsi="Calibri" w:cs="Calibri"/>
              </w:rPr>
              <w:t>/</w:t>
            </w:r>
            <w:r w:rsidR="00D02BA5" w:rsidRPr="007472ED">
              <w:rPr>
                <w:rFonts w:ascii="Calibri" w:hAnsi="Calibri" w:cs="Calibri"/>
              </w:rPr>
              <w:t>2011</w:t>
            </w:r>
          </w:p>
        </w:tc>
      </w:tr>
      <w:tr w:rsidR="00D406DE" w:rsidRPr="001B7332" w14:paraId="2905189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851884D" w14:textId="42A08F9B" w:rsidR="00D406DE" w:rsidRPr="007472ED" w:rsidRDefault="00D406DE" w:rsidP="00654859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r w:rsidRPr="007472ED">
              <w:rPr>
                <w:rFonts w:ascii="Calibri" w:hAnsi="Calibri" w:cs="Calibri"/>
              </w:rPr>
              <w:t>Delivery Date</w:t>
            </w:r>
          </w:p>
        </w:tc>
        <w:tc>
          <w:tcPr>
            <w:tcW w:w="5877" w:type="dxa"/>
            <w:vAlign w:val="center"/>
          </w:tcPr>
          <w:p w14:paraId="1AE6F300" w14:textId="22CB1D6E" w:rsidR="00D406DE" w:rsidRPr="007472ED" w:rsidRDefault="007472ED" w:rsidP="007472ED">
            <w:pPr>
              <w:rPr>
                <w:rFonts w:ascii="Calibri" w:hAnsi="Calibri" w:cs="Calibri"/>
              </w:rPr>
            </w:pPr>
            <w:r w:rsidRPr="007472ED">
              <w:rPr>
                <w:rFonts w:ascii="Calibri" w:hAnsi="Calibri" w:cs="Calibri"/>
              </w:rPr>
              <w:t>12</w:t>
            </w:r>
            <w:r w:rsidR="00D406DE" w:rsidRPr="007472ED">
              <w:rPr>
                <w:rFonts w:ascii="Calibri" w:hAnsi="Calibri" w:cs="Calibri"/>
              </w:rPr>
              <w:t>/</w:t>
            </w:r>
            <w:r w:rsidRPr="007472ED">
              <w:rPr>
                <w:rFonts w:ascii="Calibri" w:hAnsi="Calibri" w:cs="Calibri"/>
              </w:rPr>
              <w:t>2011</w:t>
            </w:r>
          </w:p>
        </w:tc>
      </w:tr>
      <w:tr w:rsidR="00D406DE" w:rsidRPr="001B7332" w14:paraId="6B539071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415159D7" w14:textId="5B72FDDD" w:rsidR="00D406DE" w:rsidRPr="007472ED" w:rsidRDefault="00D406DE" w:rsidP="00654859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r w:rsidRPr="007472ED">
              <w:rPr>
                <w:rFonts w:ascii="Calibri" w:hAnsi="Calibri" w:cs="Calibri"/>
                <w:snapToGrid w:val="0"/>
              </w:rPr>
              <w:t>MoU URL</w:t>
            </w:r>
          </w:p>
        </w:tc>
        <w:tc>
          <w:tcPr>
            <w:tcW w:w="5877" w:type="dxa"/>
            <w:vAlign w:val="center"/>
          </w:tcPr>
          <w:p w14:paraId="68F07208" w14:textId="0655EE6A" w:rsidR="00D406DE" w:rsidRPr="007472ED" w:rsidRDefault="007472ED" w:rsidP="00654859">
            <w:pPr>
              <w:rPr>
                <w:rFonts w:ascii="Calibri" w:hAnsi="Calibri" w:cs="Calibri"/>
              </w:rPr>
            </w:pPr>
            <w:r w:rsidRPr="007472ED">
              <w:rPr>
                <w:rFonts w:ascii="Calibri" w:hAnsi="Calibri" w:cs="Calibri"/>
              </w:rPr>
              <w:t>https://documents.egi.eu/document/484</w:t>
            </w:r>
          </w:p>
        </w:tc>
      </w:tr>
      <w:tr w:rsidR="00D406DE" w:rsidRPr="001B7332" w14:paraId="5F59617E" w14:textId="77777777">
        <w:trPr>
          <w:cantSplit/>
          <w:trHeight w:val="496"/>
          <w:jc w:val="center"/>
        </w:trPr>
        <w:tc>
          <w:tcPr>
            <w:tcW w:w="2484" w:type="dxa"/>
            <w:tcBorders>
              <w:bottom w:val="single" w:sz="24" w:space="0" w:color="000080"/>
            </w:tcBorders>
            <w:vAlign w:val="center"/>
          </w:tcPr>
          <w:p w14:paraId="438D7801" w14:textId="462EC71F" w:rsidR="00D406DE" w:rsidRPr="001B7332" w:rsidRDefault="00D406DE">
            <w:pPr>
              <w:pStyle w:val="Header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5877" w:type="dxa"/>
            <w:tcBorders>
              <w:bottom w:val="single" w:sz="24" w:space="0" w:color="000080"/>
            </w:tcBorders>
            <w:vAlign w:val="center"/>
          </w:tcPr>
          <w:p w14:paraId="254190B6" w14:textId="5552024A" w:rsidR="00D406DE" w:rsidRPr="001B7332" w:rsidRDefault="00D406DE" w:rsidP="004D2F8D">
            <w:pPr>
              <w:rPr>
                <w:rFonts w:ascii="Calibri" w:hAnsi="Calibri" w:cs="Calibri"/>
                <w:highlight w:val="yellow"/>
              </w:rPr>
            </w:pPr>
          </w:p>
        </w:tc>
      </w:tr>
    </w:tbl>
    <w:p w14:paraId="02FE14A4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54859" w:rsidRPr="001B7332" w14:paraId="009B25CD" w14:textId="77777777">
        <w:trPr>
          <w:cantSplit/>
        </w:trPr>
        <w:tc>
          <w:tcPr>
            <w:tcW w:w="9072" w:type="dxa"/>
          </w:tcPr>
          <w:p w14:paraId="686A8056" w14:textId="77777777" w:rsidR="00654859" w:rsidRPr="001B7332" w:rsidRDefault="007246D8" w:rsidP="00654859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Abstract</w:t>
            </w:r>
          </w:p>
          <w:p w14:paraId="58CA5C41" w14:textId="2F491595" w:rsidR="00654859" w:rsidRPr="001B7332" w:rsidRDefault="00C5609F" w:rsidP="00654859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This document summaries</w:t>
            </w:r>
            <w:r w:rsidR="00D02BA5">
              <w:rPr>
                <w:rFonts w:ascii="Calibri" w:hAnsi="Calibri" w:cs="Calibri"/>
              </w:rPr>
              <w:t xml:space="preserve"> the dissemination activities relating to the MoUs signed between EGI and </w:t>
            </w:r>
            <w:r w:rsidR="007472ED">
              <w:rPr>
                <w:rFonts w:ascii="Calibri" w:hAnsi="Calibri" w:cs="Calibri"/>
              </w:rPr>
              <w:t>IGE</w:t>
            </w:r>
            <w:r w:rsidR="00D02BA5">
              <w:rPr>
                <w:rFonts w:ascii="Calibri" w:hAnsi="Calibri" w:cs="Calibri"/>
              </w:rPr>
              <w:t>.</w:t>
            </w:r>
          </w:p>
          <w:p w14:paraId="66420181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  <w:p w14:paraId="0D408E2E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5B05C798" w14:textId="77777777" w:rsidR="007246D8" w:rsidRDefault="007246D8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</w:p>
    <w:p w14:paraId="07C6ECD0" w14:textId="77777777" w:rsidR="007246D8" w:rsidRDefault="007246D8" w:rsidP="007246D8">
      <w:r>
        <w:br w:type="page"/>
      </w:r>
    </w:p>
    <w:p w14:paraId="7577974A" w14:textId="77777777" w:rsidR="00654859" w:rsidRPr="00FB269A" w:rsidRDefault="00654859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  <w:r w:rsidRPr="00FB269A">
        <w:rPr>
          <w:rFonts w:ascii="Calibri" w:hAnsi="Calibri" w:cs="Calibri"/>
          <w:sz w:val="28"/>
        </w:rPr>
        <w:lastRenderedPageBreak/>
        <w:t>TABLE OF CONTENTS</w:t>
      </w:r>
    </w:p>
    <w:p w14:paraId="6DB8B8D0" w14:textId="77777777" w:rsidR="002D1E7B" w:rsidRDefault="00654859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ru-RU" w:eastAsia="ja-JP"/>
        </w:rPr>
      </w:pPr>
      <w:r w:rsidRPr="001B7332">
        <w:rPr>
          <w:rFonts w:ascii="Calibri" w:hAnsi="Calibri" w:cs="Calibri"/>
          <w:b w:val="0"/>
          <w:caps/>
        </w:rPr>
        <w:fldChar w:fldCharType="begin"/>
      </w:r>
      <w:r w:rsidRPr="001B7332">
        <w:rPr>
          <w:rFonts w:ascii="Calibri" w:hAnsi="Calibri" w:cs="Calibri"/>
          <w:b w:val="0"/>
          <w:caps/>
        </w:rPr>
        <w:instrText xml:space="preserve"> TOC \o "1-3" </w:instrText>
      </w:r>
      <w:r w:rsidRPr="001B7332">
        <w:rPr>
          <w:rFonts w:ascii="Calibri" w:hAnsi="Calibri" w:cs="Calibri"/>
          <w:b w:val="0"/>
          <w:caps/>
        </w:rPr>
        <w:fldChar w:fldCharType="separate"/>
      </w:r>
      <w:r w:rsidR="002D1E7B" w:rsidRPr="008A3D59">
        <w:rPr>
          <w:rFonts w:cs="Calibri"/>
          <w:noProof/>
        </w:rPr>
        <w:t>1</w:t>
      </w:r>
      <w:r w:rsidR="002D1E7B">
        <w:rPr>
          <w:rFonts w:asciiTheme="minorHAnsi" w:eastAsiaTheme="minorEastAsia" w:hAnsiTheme="minorHAnsi" w:cstheme="minorBidi"/>
          <w:b w:val="0"/>
          <w:noProof/>
          <w:lang w:val="ru-RU" w:eastAsia="ja-JP"/>
        </w:rPr>
        <w:tab/>
      </w:r>
      <w:r w:rsidR="002D1E7B" w:rsidRPr="008A3D59">
        <w:rPr>
          <w:rFonts w:cs="Calibri"/>
          <w:noProof/>
        </w:rPr>
        <w:t>OVERVIEW</w:t>
      </w:r>
      <w:r w:rsidR="002D1E7B">
        <w:rPr>
          <w:noProof/>
        </w:rPr>
        <w:tab/>
      </w:r>
      <w:r w:rsidR="002D1E7B">
        <w:rPr>
          <w:noProof/>
        </w:rPr>
        <w:fldChar w:fldCharType="begin"/>
      </w:r>
      <w:r w:rsidR="002D1E7B">
        <w:rPr>
          <w:noProof/>
        </w:rPr>
        <w:instrText xml:space="preserve"> PAGEREF _Toc188080389 \h </w:instrText>
      </w:r>
      <w:r w:rsidR="002D1E7B">
        <w:rPr>
          <w:noProof/>
        </w:rPr>
      </w:r>
      <w:r w:rsidR="002D1E7B">
        <w:rPr>
          <w:noProof/>
        </w:rPr>
        <w:fldChar w:fldCharType="separate"/>
      </w:r>
      <w:r w:rsidR="002D1E7B">
        <w:rPr>
          <w:noProof/>
        </w:rPr>
        <w:t>3</w:t>
      </w:r>
      <w:r w:rsidR="002D1E7B">
        <w:rPr>
          <w:noProof/>
        </w:rPr>
        <w:fldChar w:fldCharType="end"/>
      </w:r>
    </w:p>
    <w:p w14:paraId="6296E56B" w14:textId="77777777" w:rsidR="002D1E7B" w:rsidRDefault="002D1E7B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ru-RU" w:eastAsia="ja-JP"/>
        </w:rPr>
      </w:pPr>
      <w:r w:rsidRPr="008A3D59">
        <w:rPr>
          <w:rFonts w:cs="Calibri"/>
          <w:noProof/>
        </w:rPr>
        <w:t>2</w:t>
      </w:r>
      <w:r>
        <w:rPr>
          <w:rFonts w:asciiTheme="minorHAnsi" w:eastAsiaTheme="minorEastAsia" w:hAnsiTheme="minorHAnsi" w:cstheme="minorBidi"/>
          <w:b w:val="0"/>
          <w:noProof/>
          <w:lang w:val="ru-RU" w:eastAsia="ja-JP"/>
        </w:rPr>
        <w:tab/>
      </w:r>
      <w:r w:rsidRPr="008A3D59">
        <w:rPr>
          <w:rFonts w:cs="Calibri"/>
          <w:noProof/>
        </w:rPr>
        <w:t>IGE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_Toc188080390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EC1C67" w14:textId="77777777" w:rsidR="002D1E7B" w:rsidRDefault="002D1E7B">
      <w:pPr>
        <w:pStyle w:val="TOC1"/>
        <w:tabs>
          <w:tab w:val="left" w:pos="382"/>
          <w:tab w:val="right" w:leader="dot" w:pos="9054"/>
        </w:tabs>
        <w:rPr>
          <w:rFonts w:asciiTheme="minorHAnsi" w:eastAsiaTheme="minorEastAsia" w:hAnsiTheme="minorHAnsi" w:cstheme="minorBidi"/>
          <w:b w:val="0"/>
          <w:noProof/>
          <w:lang w:val="ru-RU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noProof/>
          <w:lang w:val="ru-RU" w:eastAsia="ja-JP"/>
        </w:rPr>
        <w:tab/>
      </w:r>
      <w:r>
        <w:rPr>
          <w:noProof/>
        </w:rPr>
        <w:t>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_Toc188080391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EC4FDA2" w14:textId="77777777" w:rsidR="00654859" w:rsidRPr="001B7332" w:rsidRDefault="00654859" w:rsidP="00654859">
      <w:pPr>
        <w:rPr>
          <w:rFonts w:ascii="Calibri" w:hAnsi="Calibri" w:cs="Calibri"/>
        </w:rPr>
      </w:pPr>
      <w:r w:rsidRPr="001B7332">
        <w:rPr>
          <w:rFonts w:ascii="Calibri" w:hAnsi="Calibri" w:cs="Calibri"/>
          <w:b/>
          <w:caps/>
          <w:sz w:val="24"/>
          <w:szCs w:val="24"/>
        </w:rPr>
        <w:fldChar w:fldCharType="end"/>
      </w:r>
    </w:p>
    <w:p w14:paraId="0642F7F0" w14:textId="77777777" w:rsidR="00654859" w:rsidRPr="001B7332" w:rsidRDefault="00654859" w:rsidP="00654859">
      <w:pPr>
        <w:rPr>
          <w:rFonts w:ascii="Calibri" w:hAnsi="Calibri" w:cs="Calibri"/>
        </w:rPr>
      </w:pPr>
    </w:p>
    <w:p w14:paraId="522E5B9F" w14:textId="15EAA6BC" w:rsidR="00654859" w:rsidRDefault="00D02BA5" w:rsidP="00251252">
      <w:pPr>
        <w:pStyle w:val="Heading1"/>
        <w:rPr>
          <w:rFonts w:cs="Calibri"/>
        </w:rPr>
      </w:pPr>
      <w:bookmarkStart w:id="0" w:name="_Toc188080389"/>
      <w:r>
        <w:rPr>
          <w:rFonts w:cs="Calibri"/>
        </w:rPr>
        <w:lastRenderedPageBreak/>
        <w:t>OVERVIEW</w:t>
      </w:r>
      <w:bookmarkEnd w:id="0"/>
    </w:p>
    <w:p w14:paraId="78E54B8C" w14:textId="77777777" w:rsidR="00197609" w:rsidRDefault="00197609" w:rsidP="00197609"/>
    <w:p w14:paraId="0F90266F" w14:textId="18C95034" w:rsidR="00197609" w:rsidRDefault="00197609" w:rsidP="00197609">
      <w:r>
        <w:t>Since the start of EGI-InSPIRE, a number of MoUs have been signed with projects and organisation</w:t>
      </w:r>
      <w:r w:rsidR="00BE23AF">
        <w:t>s</w:t>
      </w:r>
      <w:r>
        <w:t>. Most of the MoUs include a joint work plan in the area of dissemination, aiming to disseminate the progress and final results of the collaboration within the EGI and project</w:t>
      </w:r>
      <w:r w:rsidR="00BE23AF">
        <w:t xml:space="preserve"> communities.</w:t>
      </w:r>
    </w:p>
    <w:p w14:paraId="7B3AB124" w14:textId="77777777" w:rsidR="00197609" w:rsidRDefault="00197609" w:rsidP="00197609"/>
    <w:p w14:paraId="15AA9AAE" w14:textId="198D63D9" w:rsidR="00197609" w:rsidRDefault="00197609" w:rsidP="00197609">
      <w:r>
        <w:t>The expected outcomes include:</w:t>
      </w:r>
    </w:p>
    <w:p w14:paraId="4CFCCE91" w14:textId="77777777" w:rsidR="00197609" w:rsidRDefault="00197609" w:rsidP="00197609"/>
    <w:p w14:paraId="603C4722" w14:textId="78410F98" w:rsidR="00197609" w:rsidRDefault="00197609" w:rsidP="00197609">
      <w:pPr>
        <w:pStyle w:val="ListParagraph"/>
        <w:numPr>
          <w:ilvl w:val="0"/>
          <w:numId w:val="17"/>
        </w:numPr>
      </w:pPr>
      <w:r>
        <w:t>Advertising the start of the collaboration in each party website with a dedicated static page, article and news release.</w:t>
      </w:r>
    </w:p>
    <w:p w14:paraId="14BBEB8B" w14:textId="77777777" w:rsidR="00197609" w:rsidRDefault="00197609" w:rsidP="00197609"/>
    <w:p w14:paraId="6B609CE5" w14:textId="095CFF06" w:rsidR="00197609" w:rsidRDefault="00197609" w:rsidP="00197609">
      <w:pPr>
        <w:pStyle w:val="ListParagraph"/>
        <w:numPr>
          <w:ilvl w:val="0"/>
          <w:numId w:val="17"/>
        </w:numPr>
      </w:pPr>
      <w:r>
        <w:t>Joint technical sessions at community events disseminating the progress of the results of the collaboration.</w:t>
      </w:r>
    </w:p>
    <w:p w14:paraId="42B03782" w14:textId="77777777" w:rsidR="00197609" w:rsidRDefault="00197609" w:rsidP="00197609">
      <w:pPr>
        <w:pStyle w:val="ListParagraph"/>
      </w:pPr>
    </w:p>
    <w:p w14:paraId="7D7D158A" w14:textId="050DDBD7" w:rsidR="00197609" w:rsidRDefault="00197609" w:rsidP="00197609">
      <w:pPr>
        <w:pStyle w:val="ListParagraph"/>
        <w:numPr>
          <w:ilvl w:val="0"/>
          <w:numId w:val="17"/>
        </w:numPr>
      </w:pPr>
      <w:r>
        <w:t>Joint report on dissemination activities including areas such as joint events, materials, publications, news items and press coverage.</w:t>
      </w:r>
    </w:p>
    <w:p w14:paraId="36B4EEF9" w14:textId="77777777" w:rsidR="00197609" w:rsidRDefault="00197609" w:rsidP="00197609">
      <w:pPr>
        <w:pStyle w:val="ListParagraph"/>
      </w:pPr>
    </w:p>
    <w:p w14:paraId="4FB03A2F" w14:textId="417E09E6" w:rsidR="00197609" w:rsidRDefault="002A07B6" w:rsidP="00197609">
      <w:r>
        <w:t>For EGI, the start of the collaboration is advertised on the main EGI website on the Collaborations page</w:t>
      </w:r>
      <w:r>
        <w:rPr>
          <w:rStyle w:val="FootnoteReference"/>
        </w:rPr>
        <w:footnoteReference w:id="1"/>
      </w:r>
      <w:r>
        <w:t>. An example</w:t>
      </w:r>
      <w:r w:rsidR="00BE23AF">
        <w:t xml:space="preserve"> of a dedicated web page for the</w:t>
      </w:r>
      <w:r>
        <w:t xml:space="preserve"> collaboration with the CHAIN project can be found online</w:t>
      </w:r>
      <w:r>
        <w:rPr>
          <w:rStyle w:val="FootnoteReference"/>
        </w:rPr>
        <w:footnoteReference w:id="2"/>
      </w:r>
      <w:r>
        <w:t>. All MoU signings are announced via the EGI news feed</w:t>
      </w:r>
      <w:r>
        <w:rPr>
          <w:rStyle w:val="FootnoteReference"/>
        </w:rPr>
        <w:footnoteReference w:id="3"/>
      </w:r>
      <w:r>
        <w:t>, which is also fed out to our Twitter feed</w:t>
      </w:r>
      <w:r>
        <w:rPr>
          <w:rStyle w:val="FootnoteReference"/>
        </w:rPr>
        <w:footnoteReference w:id="4"/>
      </w:r>
      <w:r>
        <w:t>.</w:t>
      </w:r>
    </w:p>
    <w:p w14:paraId="43A6FCE7" w14:textId="77777777" w:rsidR="00197609" w:rsidRDefault="00197609" w:rsidP="00197609"/>
    <w:p w14:paraId="1B4EA169" w14:textId="12A86229" w:rsidR="00BE23AF" w:rsidRDefault="00BE23AF" w:rsidP="00197609">
      <w:r>
        <w:t>The programmes for EGI’s community events can be found on the Indico website</w:t>
      </w:r>
      <w:r>
        <w:rPr>
          <w:rStyle w:val="FootnoteReference"/>
        </w:rPr>
        <w:footnoteReference w:id="5"/>
      </w:r>
      <w:r>
        <w:t xml:space="preserve">. These include all </w:t>
      </w:r>
      <w:r w:rsidR="00C6571F">
        <w:t xml:space="preserve">joint </w:t>
      </w:r>
      <w:r>
        <w:t>sessions, papers, posters and workshops accepted for the programme at EGI’s flagship events, such as the EGI Technical Forum 2010 in Amsterdam</w:t>
      </w:r>
      <w:r>
        <w:rPr>
          <w:rStyle w:val="FootnoteReference"/>
        </w:rPr>
        <w:footnoteReference w:id="6"/>
      </w:r>
      <w:r>
        <w:t>, the EGI User Forum 2011 in Vilnius</w:t>
      </w:r>
      <w:r>
        <w:rPr>
          <w:rStyle w:val="FootnoteReference"/>
        </w:rPr>
        <w:footnoteReference w:id="7"/>
      </w:r>
      <w:r>
        <w:t xml:space="preserve"> and the EGI Technical Forum 2011 in Lyon</w:t>
      </w:r>
      <w:r>
        <w:rPr>
          <w:rStyle w:val="FootnoteReference"/>
        </w:rPr>
        <w:footnoteReference w:id="8"/>
      </w:r>
      <w:r>
        <w:t>.</w:t>
      </w:r>
    </w:p>
    <w:p w14:paraId="431EEECC" w14:textId="77777777" w:rsidR="00197609" w:rsidRPr="00197609" w:rsidRDefault="00197609" w:rsidP="00197609"/>
    <w:p w14:paraId="12271E9C" w14:textId="16FF2AAD" w:rsidR="002C1144" w:rsidRDefault="002C1144" w:rsidP="00840DD0">
      <w:pPr>
        <w:pStyle w:val="Heading1"/>
        <w:rPr>
          <w:rFonts w:cs="Calibri"/>
        </w:rPr>
      </w:pPr>
      <w:bookmarkStart w:id="1" w:name="_Toc188080390"/>
      <w:r>
        <w:rPr>
          <w:rFonts w:cs="Calibri"/>
        </w:rPr>
        <w:lastRenderedPageBreak/>
        <w:t>IGE</w:t>
      </w:r>
      <w:bookmarkEnd w:id="1"/>
    </w:p>
    <w:p w14:paraId="1A7A2B3C" w14:textId="77777777" w:rsidR="00BC2BBD" w:rsidRDefault="00BC2BBD" w:rsidP="003E1F63"/>
    <w:p w14:paraId="15A8DE8B" w14:textId="77777777" w:rsidR="003E1F63" w:rsidRDefault="003E1F63" w:rsidP="003E1F63">
      <w:r>
        <w:t>The Initiative for Globus in Europe (IGE) signed the MoU with EGI on January, 20</w:t>
      </w:r>
      <w:r w:rsidRPr="00536283">
        <w:rPr>
          <w:vertAlign w:val="superscript"/>
        </w:rPr>
        <w:t>th</w:t>
      </w:r>
      <w:r>
        <w:t>, 2011 at EGI.eu’s headquarters in Amsterdam. A corresponding article was published on the IGE’s project website</w:t>
      </w:r>
      <w:r>
        <w:rPr>
          <w:rStyle w:val="FootnoteReference"/>
        </w:rPr>
        <w:footnoteReference w:id="9"/>
      </w:r>
      <w:r>
        <w:t xml:space="preserve"> by the beginning of the collaboration. In May 2011, the collaboration was supplemented by a Service Level Agreement (SLA)</w:t>
      </w:r>
      <w:r>
        <w:rPr>
          <w:rStyle w:val="FootnoteReference"/>
        </w:rPr>
        <w:footnoteReference w:id="10"/>
      </w:r>
      <w:r>
        <w:t xml:space="preserve">. </w:t>
      </w:r>
    </w:p>
    <w:p w14:paraId="0A6E3FA9" w14:textId="77777777" w:rsidR="003E1F63" w:rsidRDefault="003E1F63" w:rsidP="003E1F63">
      <w:r>
        <w:t>During the reporting period, the following joint events with common dissemination activities have been conducted:</w:t>
      </w:r>
    </w:p>
    <w:p w14:paraId="428CDC9C" w14:textId="77777777" w:rsidR="003E1F63" w:rsidRDefault="003E1F63" w:rsidP="003E1F63">
      <w:pPr>
        <w:pStyle w:val="ListParagraph"/>
        <w:numPr>
          <w:ilvl w:val="0"/>
          <w:numId w:val="20"/>
        </w:numPr>
      </w:pPr>
      <w:r>
        <w:t>First face to face meeting of the European Globus Community Forum (EGCF) which was co-located with the NGI-DE in Garching,</w:t>
      </w:r>
    </w:p>
    <w:p w14:paraId="30F81893" w14:textId="77777777" w:rsidR="003E1F63" w:rsidRDefault="003E1F63" w:rsidP="003E1F63">
      <w:pPr>
        <w:pStyle w:val="ListParagraph"/>
        <w:numPr>
          <w:ilvl w:val="0"/>
          <w:numId w:val="20"/>
        </w:numPr>
      </w:pPr>
      <w:r>
        <w:t>EGI-UF 2011 (11</w:t>
      </w:r>
      <w:r w:rsidRPr="00B519EF">
        <w:rPr>
          <w:vertAlign w:val="superscript"/>
        </w:rPr>
        <w:t>th</w:t>
      </w:r>
      <w:r>
        <w:t xml:space="preserve"> to 15</w:t>
      </w:r>
      <w:r w:rsidRPr="00B519EF">
        <w:rPr>
          <w:vertAlign w:val="superscript"/>
        </w:rPr>
        <w:t>th</w:t>
      </w:r>
      <w:r>
        <w:t xml:space="preserve"> April 2011, Vilnius)</w:t>
      </w:r>
    </w:p>
    <w:p w14:paraId="38D39951" w14:textId="77777777" w:rsidR="003E1F63" w:rsidRDefault="003E1F63" w:rsidP="003E1F63">
      <w:pPr>
        <w:pStyle w:val="ListParagraph"/>
        <w:numPr>
          <w:ilvl w:val="0"/>
          <w:numId w:val="20"/>
        </w:numPr>
      </w:pPr>
      <w:r>
        <w:t>Joint DCI Summer School (11</w:t>
      </w:r>
      <w:r w:rsidRPr="00B519EF">
        <w:rPr>
          <w:vertAlign w:val="superscript"/>
        </w:rPr>
        <w:t>th</w:t>
      </w:r>
      <w:r>
        <w:t xml:space="preserve"> to 16</w:t>
      </w:r>
      <w:r w:rsidRPr="00B519EF">
        <w:rPr>
          <w:vertAlign w:val="superscript"/>
        </w:rPr>
        <w:t>th</w:t>
      </w:r>
      <w:r>
        <w:t xml:space="preserve"> September 2011, Budapest)</w:t>
      </w:r>
    </w:p>
    <w:p w14:paraId="28AD9111" w14:textId="77777777" w:rsidR="003E1F63" w:rsidRDefault="003E1F63" w:rsidP="003E1F63">
      <w:pPr>
        <w:pStyle w:val="ListParagraph"/>
        <w:numPr>
          <w:ilvl w:val="0"/>
          <w:numId w:val="20"/>
        </w:numPr>
      </w:pPr>
      <w:r>
        <w:t>GlobusEUROPE 2011 on September 19</w:t>
      </w:r>
      <w:r w:rsidRPr="00FF5090">
        <w:rPr>
          <w:vertAlign w:val="superscript"/>
        </w:rPr>
        <w:t>th</w:t>
      </w:r>
      <w:r>
        <w:t>, 2011 at Lyon was co-located with EGI-TF 2011.</w:t>
      </w:r>
      <w:r>
        <w:rPr>
          <w:rStyle w:val="FootnoteReference"/>
        </w:rPr>
        <w:footnoteReference w:id="11"/>
      </w:r>
      <w:r w:rsidRPr="00FF5090">
        <w:t xml:space="preserve"> </w:t>
      </w:r>
    </w:p>
    <w:p w14:paraId="25A30E72" w14:textId="77777777" w:rsidR="003E1F63" w:rsidRDefault="003E1F63" w:rsidP="003E1F63"/>
    <w:p w14:paraId="7B6DFA03" w14:textId="77777777" w:rsidR="003E1F63" w:rsidRDefault="003E1F63" w:rsidP="003E1F63">
      <w:r>
        <w:t>Moreover, the next annual meeting of the EGCF will be co-located with EGI-CF 2012 from 26</w:t>
      </w:r>
      <w:r w:rsidRPr="00EE3535">
        <w:rPr>
          <w:vertAlign w:val="superscript"/>
        </w:rPr>
        <w:t>th</w:t>
      </w:r>
      <w:r>
        <w:t xml:space="preserve"> to 30</w:t>
      </w:r>
      <w:r w:rsidRPr="00EE3535">
        <w:rPr>
          <w:vertAlign w:val="superscript"/>
        </w:rPr>
        <w:t>th</w:t>
      </w:r>
      <w:r>
        <w:t xml:space="preserve"> March, 2012 in Garching. The related press release and Call for Participation emphasise the strong collaboration between both projects. </w:t>
      </w:r>
    </w:p>
    <w:p w14:paraId="451D33AF" w14:textId="77777777" w:rsidR="003E1F63" w:rsidRDefault="003E1F63" w:rsidP="003E1F63">
      <w:r>
        <w:t>In general, there are various links from IGE’s project website to EGI.eu (e.g. About, Link section, Downloads, EGCF).</w:t>
      </w:r>
    </w:p>
    <w:p w14:paraId="4E2C3CD9" w14:textId="77777777" w:rsidR="002C1144" w:rsidRDefault="002C1144" w:rsidP="006F1515"/>
    <w:p w14:paraId="3B9A7268" w14:textId="09525675" w:rsidR="00654859" w:rsidRDefault="00226D76" w:rsidP="006F1515">
      <w:pPr>
        <w:pStyle w:val="Heading1"/>
      </w:pPr>
      <w:bookmarkStart w:id="2" w:name="_Toc188080391"/>
      <w:r>
        <w:lastRenderedPageBreak/>
        <w:t>CONCLUSION</w:t>
      </w:r>
      <w:bookmarkEnd w:id="2"/>
    </w:p>
    <w:p w14:paraId="68496132" w14:textId="77777777" w:rsidR="00C46A1C" w:rsidRDefault="00C46A1C" w:rsidP="005264DC"/>
    <w:p w14:paraId="65EE7FAF" w14:textId="6E677ED3" w:rsidR="00C46A1C" w:rsidRPr="001B7332" w:rsidRDefault="00C5609F" w:rsidP="00C46A1C">
      <w:p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This</w:t>
      </w:r>
      <w:bookmarkStart w:id="3" w:name="_GoBack"/>
      <w:bookmarkEnd w:id="3"/>
      <w:r w:rsidR="008C71B4">
        <w:rPr>
          <w:rFonts w:ascii="Calibri" w:hAnsi="Calibri" w:cs="Calibri"/>
        </w:rPr>
        <w:t xml:space="preserve"> document summaries</w:t>
      </w:r>
      <w:r w:rsidR="00C46A1C">
        <w:rPr>
          <w:rFonts w:ascii="Calibri" w:hAnsi="Calibri" w:cs="Calibri"/>
        </w:rPr>
        <w:t xml:space="preserve"> the dissemination activities relating to the MoUs signed between EGI and IGE. Updates will be provided on an annual basis.</w:t>
      </w:r>
    </w:p>
    <w:p w14:paraId="6222A3B0" w14:textId="77777777" w:rsidR="00C46A1C" w:rsidRPr="00C46A1C" w:rsidRDefault="00C46A1C" w:rsidP="005264DC"/>
    <w:sectPr w:rsidR="00C46A1C" w:rsidRPr="00C46A1C" w:rsidSect="00654859">
      <w:headerReference w:type="default" r:id="rId9"/>
      <w:footerReference w:type="default" r:id="rId10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9E9C8" w14:textId="77777777" w:rsidR="00EE20D1" w:rsidRDefault="00EE20D1">
      <w:pPr>
        <w:spacing w:before="0" w:after="0"/>
      </w:pPr>
      <w:r>
        <w:separator/>
      </w:r>
    </w:p>
  </w:endnote>
  <w:endnote w:type="continuationSeparator" w:id="0">
    <w:p w14:paraId="7EECE51A" w14:textId="77777777" w:rsidR="00EE20D1" w:rsidRDefault="00EE20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FD037" w14:textId="77777777" w:rsidR="00EE20D1" w:rsidRDefault="00EE20D1">
    <w:pPr>
      <w:pStyle w:val="Footer"/>
    </w:pPr>
  </w:p>
  <w:tbl>
    <w:tblPr>
      <w:tblW w:w="9425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110"/>
      <w:gridCol w:w="1559"/>
      <w:gridCol w:w="992"/>
    </w:tblGrid>
    <w:tr w:rsidR="00EE20D1" w14:paraId="0E5E54C3" w14:textId="77777777" w:rsidTr="00E97594">
      <w:tc>
        <w:tcPr>
          <w:tcW w:w="2764" w:type="dxa"/>
          <w:tcBorders>
            <w:top w:val="single" w:sz="8" w:space="0" w:color="000080"/>
          </w:tcBorders>
        </w:tcPr>
        <w:p w14:paraId="59939E9A" w14:textId="77777777" w:rsidR="00EE20D1" w:rsidRPr="00C37018" w:rsidRDefault="00EE20D1">
          <w:pPr>
            <w:rPr>
              <w:rFonts w:ascii="Calibri" w:hAnsi="Calibri" w:cs="Calibri"/>
            </w:rPr>
          </w:pPr>
        </w:p>
      </w:tc>
      <w:tc>
        <w:tcPr>
          <w:tcW w:w="4110" w:type="dxa"/>
          <w:tcBorders>
            <w:top w:val="single" w:sz="8" w:space="0" w:color="000080"/>
          </w:tcBorders>
        </w:tcPr>
        <w:p w14:paraId="0F3864DF" w14:textId="77777777" w:rsidR="00EE20D1" w:rsidRDefault="00EE20D1" w:rsidP="00E97594">
          <w:pPr>
            <w:ind w:left="-70" w:right="-353"/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01827A36" w14:textId="77777777" w:rsidR="00EE20D1" w:rsidRDefault="00EE20D1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14:paraId="059709C4" w14:textId="77777777" w:rsidR="00EE20D1" w:rsidRDefault="00EE20D1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5609F">
            <w:rPr>
              <w:noProof/>
            </w:rPr>
            <w:t>5</w:t>
          </w:r>
          <w:r>
            <w:fldChar w:fldCharType="end"/>
          </w:r>
          <w:r>
            <w:t xml:space="preserve"> / </w:t>
          </w:r>
          <w:fldSimple w:instr=" NUMPAGES  \* MERGEFORMAT ">
            <w:r w:rsidR="00C5609F">
              <w:rPr>
                <w:noProof/>
              </w:rPr>
              <w:t>5</w:t>
            </w:r>
          </w:fldSimple>
        </w:p>
      </w:tc>
    </w:tr>
  </w:tbl>
  <w:p w14:paraId="53E6706C" w14:textId="77777777" w:rsidR="00EE20D1" w:rsidRDefault="00EE20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135E0" w14:textId="77777777" w:rsidR="00EE20D1" w:rsidRDefault="00EE20D1">
      <w:pPr>
        <w:spacing w:before="0" w:after="0"/>
      </w:pPr>
      <w:r>
        <w:separator/>
      </w:r>
    </w:p>
  </w:footnote>
  <w:footnote w:type="continuationSeparator" w:id="0">
    <w:p w14:paraId="0C65D00E" w14:textId="77777777" w:rsidR="00EE20D1" w:rsidRDefault="00EE20D1">
      <w:pPr>
        <w:spacing w:before="0" w:after="0"/>
      </w:pPr>
      <w:r>
        <w:continuationSeparator/>
      </w:r>
    </w:p>
  </w:footnote>
  <w:footnote w:id="1">
    <w:p w14:paraId="67D25DE6" w14:textId="573B5561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http://www.egi.eu/collaboration/</w:t>
        </w:r>
      </w:hyperlink>
    </w:p>
  </w:footnote>
  <w:footnote w:id="2">
    <w:p w14:paraId="000AF274" w14:textId="2E9D63CE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http://www.egi.eu/collaboration/CHAIN.html</w:t>
        </w:r>
      </w:hyperlink>
    </w:p>
  </w:footnote>
  <w:footnote w:id="3">
    <w:p w14:paraId="6C60FAF9" w14:textId="57615687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http://www.egi.eu/about/news/</w:t>
        </w:r>
      </w:hyperlink>
    </w:p>
  </w:footnote>
  <w:footnote w:id="4">
    <w:p w14:paraId="02296D5D" w14:textId="686A7736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103AB4">
          <w:rPr>
            <w:rStyle w:val="Hyperlink"/>
          </w:rPr>
          <w:t>http://twitter.com/egi_inspire</w:t>
        </w:r>
      </w:hyperlink>
    </w:p>
  </w:footnote>
  <w:footnote w:id="5">
    <w:p w14:paraId="6AD1864C" w14:textId="5B68D91C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https://www.egi.eu/indico/</w:t>
        </w:r>
      </w:hyperlink>
    </w:p>
  </w:footnote>
  <w:footnote w:id="6">
    <w:p w14:paraId="59E99CC7" w14:textId="34A09DCC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>
          <w:rPr>
            <w:rStyle w:val="Hyperlink"/>
          </w:rPr>
          <w:t>https://www.egi.eu/indico/conferenceDisplay.py?confId=48</w:t>
        </w:r>
      </w:hyperlink>
    </w:p>
  </w:footnote>
  <w:footnote w:id="7">
    <w:p w14:paraId="70C42F27" w14:textId="52F72BD5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>
          <w:rPr>
            <w:rStyle w:val="Hyperlink"/>
          </w:rPr>
          <w:t>https://www.egi.eu/indico/conferenceDisplay.py?confId=207</w:t>
        </w:r>
      </w:hyperlink>
    </w:p>
  </w:footnote>
  <w:footnote w:id="8">
    <w:p w14:paraId="571B3657" w14:textId="0CD26596" w:rsidR="00EE20D1" w:rsidRDefault="00EE2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>
          <w:rPr>
            <w:rStyle w:val="Hyperlink"/>
          </w:rPr>
          <w:t>https://www.egi.eu/indico/conferenceDisplay.py?confId=452</w:t>
        </w:r>
      </w:hyperlink>
    </w:p>
  </w:footnote>
  <w:footnote w:id="9">
    <w:p w14:paraId="0C549E50" w14:textId="77777777" w:rsidR="00EE20D1" w:rsidRDefault="00EE20D1" w:rsidP="003E1F63">
      <w:r>
        <w:rPr>
          <w:rStyle w:val="FootnoteReference"/>
        </w:rPr>
        <w:footnoteRef/>
      </w:r>
      <w:r>
        <w:t xml:space="preserve"> </w:t>
      </w:r>
      <w:hyperlink r:id="rId9" w:history="1">
        <w:r w:rsidRPr="00AB4F5D">
          <w:rPr>
            <w:rStyle w:val="Hyperlink"/>
          </w:rPr>
          <w:t>https://sites.google.com/a/ige-project.eu/public/news-events/news/20110207a</w:t>
        </w:r>
      </w:hyperlink>
    </w:p>
  </w:footnote>
  <w:footnote w:id="10">
    <w:p w14:paraId="254A1F75" w14:textId="77777777" w:rsidR="00EE20D1" w:rsidRDefault="00EE20D1" w:rsidP="003E1F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536283">
          <w:rPr>
            <w:rStyle w:val="Hyperlink"/>
          </w:rPr>
          <w:t>https://sites.google.com/a/ige-project.eu/public/news-events/news/igesignsservicelevelagreementwithegi</w:t>
        </w:r>
      </w:hyperlink>
    </w:p>
  </w:footnote>
  <w:footnote w:id="11">
    <w:p w14:paraId="27A58E6B" w14:textId="77777777" w:rsidR="00EE20D1" w:rsidRDefault="00EE20D1" w:rsidP="003E1F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 w:history="1">
        <w:r w:rsidRPr="00FF5090">
          <w:rPr>
            <w:rStyle w:val="Hyperlink"/>
          </w:rPr>
          <w:t>http://www.globuseurope.org/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9626"/>
      <w:gridCol w:w="222"/>
      <w:gridCol w:w="222"/>
    </w:tblGrid>
    <w:tr w:rsidR="00EE20D1" w14:paraId="5F6C8F34" w14:textId="77777777">
      <w:trPr>
        <w:trHeight w:val="1131"/>
      </w:trPr>
      <w:tc>
        <w:tcPr>
          <w:tcW w:w="2559" w:type="dxa"/>
        </w:tcPr>
        <w:tbl>
          <w:tblPr>
            <w:tblW w:w="9410" w:type="dxa"/>
            <w:tblLook w:val="00A0" w:firstRow="1" w:lastRow="0" w:firstColumn="1" w:lastColumn="0" w:noHBand="0" w:noVBand="0"/>
          </w:tblPr>
          <w:tblGrid>
            <w:gridCol w:w="3119"/>
            <w:gridCol w:w="3118"/>
            <w:gridCol w:w="3173"/>
          </w:tblGrid>
          <w:tr w:rsidR="00EE20D1" w14:paraId="4ADBFDB7" w14:textId="77777777" w:rsidTr="006B52BC">
            <w:trPr>
              <w:trHeight w:val="1131"/>
            </w:trPr>
            <w:tc>
              <w:tcPr>
                <w:tcW w:w="3119" w:type="dxa"/>
                <w:hideMark/>
              </w:tcPr>
              <w:p w14:paraId="48BCC87D" w14:textId="77777777" w:rsidR="00EE20D1" w:rsidRDefault="00EE20D1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43D2870F" wp14:editId="7E942CE7">
                      <wp:extent cx="1042035" cy="786765"/>
                      <wp:effectExtent l="0" t="0" r="0" b="635"/>
                      <wp:docPr id="1" name="Picture 1" descr="EGI-LogoR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GI-LogoRe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203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D643A7B" w14:textId="77777777" w:rsidR="00EE20D1" w:rsidRDefault="00EE20D1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t>www.egi.eu</w:t>
                </w:r>
              </w:p>
            </w:tc>
            <w:tc>
              <w:tcPr>
                <w:tcW w:w="3118" w:type="dxa"/>
                <w:hideMark/>
              </w:tcPr>
              <w:p w14:paraId="592436B5" w14:textId="77777777" w:rsidR="00EE20D1" w:rsidRDefault="00EE20D1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</w:p>
            </w:tc>
            <w:tc>
              <w:tcPr>
                <w:tcW w:w="3173" w:type="dxa"/>
                <w:hideMark/>
              </w:tcPr>
              <w:p w14:paraId="5D53962B" w14:textId="77777777" w:rsidR="00EE20D1" w:rsidRPr="006B52BC" w:rsidRDefault="00EE20D1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</w:p>
              <w:p w14:paraId="368FEF4C" w14:textId="5E1D58C7" w:rsidR="00EE20D1" w:rsidRPr="006B52BC" w:rsidRDefault="00437E91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  <w:r>
                  <w:rPr>
                    <w:noProof/>
                    <w:lang w:eastAsia="en-US"/>
                  </w:rPr>
                  <w:drawing>
                    <wp:inline distT="0" distB="0" distL="0" distR="0" wp14:anchorId="26E3A99B" wp14:editId="06EE5496">
                      <wp:extent cx="828050" cy="720000"/>
                      <wp:effectExtent l="0" t="0" r="10160" b="0"/>
                      <wp:docPr id="2" name="Picture 1" descr="Description: Initiative for Globus Europ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Initiative for Globus Europ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05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4A13DC7" w14:textId="77777777" w:rsidR="00EE20D1" w:rsidRDefault="00EE20D1" w:rsidP="00654859">
          <w:pPr>
            <w:pStyle w:val="Header"/>
            <w:tabs>
              <w:tab w:val="right" w:pos="9072"/>
            </w:tabs>
            <w:jc w:val="right"/>
          </w:pPr>
        </w:p>
      </w:tc>
      <w:tc>
        <w:tcPr>
          <w:tcW w:w="4164" w:type="dxa"/>
        </w:tcPr>
        <w:p w14:paraId="68CBF580" w14:textId="77777777" w:rsidR="00EE20D1" w:rsidRDefault="00EE20D1" w:rsidP="00654859">
          <w:pPr>
            <w:pStyle w:val="Header"/>
            <w:tabs>
              <w:tab w:val="right" w:pos="9072"/>
            </w:tabs>
            <w:jc w:val="center"/>
          </w:pPr>
        </w:p>
      </w:tc>
      <w:tc>
        <w:tcPr>
          <w:tcW w:w="2687" w:type="dxa"/>
        </w:tcPr>
        <w:p w14:paraId="7396133A" w14:textId="77777777" w:rsidR="00EE20D1" w:rsidRDefault="00EE20D1" w:rsidP="00654859">
          <w:pPr>
            <w:pStyle w:val="Header"/>
            <w:tabs>
              <w:tab w:val="right" w:pos="9072"/>
            </w:tabs>
            <w:jc w:val="right"/>
          </w:pPr>
        </w:p>
      </w:tc>
    </w:tr>
  </w:tbl>
  <w:p w14:paraId="62BEB6E6" w14:textId="77777777" w:rsidR="00EE20D1" w:rsidRDefault="00EE20D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CE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1266B"/>
    <w:multiLevelType w:val="hybridMultilevel"/>
    <w:tmpl w:val="795EA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5A45"/>
    <w:multiLevelType w:val="hybridMultilevel"/>
    <w:tmpl w:val="AE022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860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1014D32"/>
    <w:multiLevelType w:val="multilevel"/>
    <w:tmpl w:val="E9AABA00"/>
    <w:lvl w:ilvl="0">
      <w:start w:val="1"/>
      <w:numFmt w:val="upperLetter"/>
      <w:pStyle w:val="Appendix1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5">
    <w:nsid w:val="277F76E2"/>
    <w:multiLevelType w:val="multilevel"/>
    <w:tmpl w:val="CCB6EB2C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6">
    <w:nsid w:val="28E75D45"/>
    <w:multiLevelType w:val="multilevel"/>
    <w:tmpl w:val="A9582DCA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7">
    <w:nsid w:val="2CB9769E"/>
    <w:multiLevelType w:val="multilevel"/>
    <w:tmpl w:val="C01EC75C"/>
    <w:lvl w:ilvl="0">
      <w:start w:val="1"/>
      <w:numFmt w:val="upperLetter"/>
      <w:pStyle w:val="Appendix2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8">
    <w:nsid w:val="38043B85"/>
    <w:multiLevelType w:val="hybridMultilevel"/>
    <w:tmpl w:val="7996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A42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E8A427B"/>
    <w:multiLevelType w:val="multilevel"/>
    <w:tmpl w:val="03B44FFE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pStyle w:val="Appendix5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11">
    <w:nsid w:val="50BE3E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E170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D0B097A"/>
    <w:multiLevelType w:val="multilevel"/>
    <w:tmpl w:val="C5E2E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6D3427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EE75A63"/>
    <w:multiLevelType w:val="multilevel"/>
    <w:tmpl w:val="A41C37DE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16">
    <w:nsid w:val="781D4272"/>
    <w:multiLevelType w:val="multilevel"/>
    <w:tmpl w:val="ABBAB398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3"/>
  </w:num>
  <w:num w:numId="9">
    <w:abstractNumId w:val="14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13"/>
  </w:num>
  <w:num w:numId="16">
    <w:abstractNumId w:val="16"/>
  </w:num>
  <w:num w:numId="17">
    <w:abstractNumId w:val="1"/>
  </w:num>
  <w:num w:numId="18">
    <w:abstractNumId w:val="13"/>
  </w:num>
  <w:num w:numId="19">
    <w:abstractNumId w:val="13"/>
  </w:num>
  <w:num w:numId="20">
    <w:abstractNumId w:val="2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A0"/>
    <w:rsid w:val="000117CD"/>
    <w:rsid w:val="00042087"/>
    <w:rsid w:val="000536BE"/>
    <w:rsid w:val="0008407E"/>
    <w:rsid w:val="000B688C"/>
    <w:rsid w:val="000D7043"/>
    <w:rsid w:val="0015369C"/>
    <w:rsid w:val="00155DEE"/>
    <w:rsid w:val="00172AA4"/>
    <w:rsid w:val="00177BEF"/>
    <w:rsid w:val="001843A0"/>
    <w:rsid w:val="00197609"/>
    <w:rsid w:val="001B7332"/>
    <w:rsid w:val="00222608"/>
    <w:rsid w:val="00225638"/>
    <w:rsid w:val="00226D76"/>
    <w:rsid w:val="00251252"/>
    <w:rsid w:val="00263188"/>
    <w:rsid w:val="00273DCD"/>
    <w:rsid w:val="00283B29"/>
    <w:rsid w:val="00285CB4"/>
    <w:rsid w:val="0028610D"/>
    <w:rsid w:val="002A07B6"/>
    <w:rsid w:val="002C1144"/>
    <w:rsid w:val="002D1E7B"/>
    <w:rsid w:val="00307721"/>
    <w:rsid w:val="00373E97"/>
    <w:rsid w:val="0037408F"/>
    <w:rsid w:val="00390135"/>
    <w:rsid w:val="003A1241"/>
    <w:rsid w:val="003B566B"/>
    <w:rsid w:val="003E1F63"/>
    <w:rsid w:val="004031CB"/>
    <w:rsid w:val="00437E91"/>
    <w:rsid w:val="00492FDC"/>
    <w:rsid w:val="004C4219"/>
    <w:rsid w:val="004D2F8D"/>
    <w:rsid w:val="00507E5F"/>
    <w:rsid w:val="00522F56"/>
    <w:rsid w:val="005264DC"/>
    <w:rsid w:val="005460CF"/>
    <w:rsid w:val="0055345F"/>
    <w:rsid w:val="0057726E"/>
    <w:rsid w:val="005B2E5A"/>
    <w:rsid w:val="005C2F57"/>
    <w:rsid w:val="005E409F"/>
    <w:rsid w:val="005E7114"/>
    <w:rsid w:val="00606C25"/>
    <w:rsid w:val="00652977"/>
    <w:rsid w:val="00654859"/>
    <w:rsid w:val="00683401"/>
    <w:rsid w:val="0068557A"/>
    <w:rsid w:val="006B3025"/>
    <w:rsid w:val="006B52BC"/>
    <w:rsid w:val="006F1515"/>
    <w:rsid w:val="006F2D38"/>
    <w:rsid w:val="00700495"/>
    <w:rsid w:val="007246D8"/>
    <w:rsid w:val="00744A5F"/>
    <w:rsid w:val="0074527C"/>
    <w:rsid w:val="007472ED"/>
    <w:rsid w:val="00776567"/>
    <w:rsid w:val="00794256"/>
    <w:rsid w:val="007A1F6F"/>
    <w:rsid w:val="007E118E"/>
    <w:rsid w:val="00800CB1"/>
    <w:rsid w:val="008253CE"/>
    <w:rsid w:val="00840DD0"/>
    <w:rsid w:val="0084407A"/>
    <w:rsid w:val="00845A0D"/>
    <w:rsid w:val="008460E3"/>
    <w:rsid w:val="00872F8D"/>
    <w:rsid w:val="008B69BD"/>
    <w:rsid w:val="008C71B4"/>
    <w:rsid w:val="008C7FA4"/>
    <w:rsid w:val="008F4014"/>
    <w:rsid w:val="00906598"/>
    <w:rsid w:val="00956B9A"/>
    <w:rsid w:val="009609DF"/>
    <w:rsid w:val="0098234C"/>
    <w:rsid w:val="00990B92"/>
    <w:rsid w:val="009D30B6"/>
    <w:rsid w:val="00A01318"/>
    <w:rsid w:val="00A01DA7"/>
    <w:rsid w:val="00A603C7"/>
    <w:rsid w:val="00A658C0"/>
    <w:rsid w:val="00A86AEB"/>
    <w:rsid w:val="00AF092B"/>
    <w:rsid w:val="00AF539D"/>
    <w:rsid w:val="00B40EEF"/>
    <w:rsid w:val="00B5540E"/>
    <w:rsid w:val="00B7481D"/>
    <w:rsid w:val="00B96D41"/>
    <w:rsid w:val="00BB6B04"/>
    <w:rsid w:val="00BC2BBD"/>
    <w:rsid w:val="00BD6700"/>
    <w:rsid w:val="00BE23AF"/>
    <w:rsid w:val="00C0033A"/>
    <w:rsid w:val="00C14FFC"/>
    <w:rsid w:val="00C262F4"/>
    <w:rsid w:val="00C37018"/>
    <w:rsid w:val="00C46A1C"/>
    <w:rsid w:val="00C5609F"/>
    <w:rsid w:val="00C6571F"/>
    <w:rsid w:val="00C73A07"/>
    <w:rsid w:val="00C81ECC"/>
    <w:rsid w:val="00C92C05"/>
    <w:rsid w:val="00CD5E0E"/>
    <w:rsid w:val="00D02BA5"/>
    <w:rsid w:val="00D406DE"/>
    <w:rsid w:val="00D44E03"/>
    <w:rsid w:val="00D539E1"/>
    <w:rsid w:val="00E434B6"/>
    <w:rsid w:val="00E54839"/>
    <w:rsid w:val="00E76A05"/>
    <w:rsid w:val="00E94266"/>
    <w:rsid w:val="00E97594"/>
    <w:rsid w:val="00EE20D1"/>
    <w:rsid w:val="00EE633E"/>
    <w:rsid w:val="00F15D91"/>
    <w:rsid w:val="00F50180"/>
    <w:rsid w:val="00F50FDC"/>
    <w:rsid w:val="00F56FA5"/>
    <w:rsid w:val="00F70150"/>
    <w:rsid w:val="00F75DEE"/>
    <w:rsid w:val="00FB2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C73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paragraph" w:styleId="ListParagraph">
    <w:name w:val="List Paragraph"/>
    <w:basedOn w:val="Normal"/>
    <w:rsid w:val="0019760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A07B6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07B6"/>
    <w:rPr>
      <w:rFonts w:ascii="Times New Roman" w:eastAsia="Times New Roman" w:hAnsi="Times New Roman"/>
      <w:lang w:val="en-GB" w:eastAsia="fr-FR"/>
    </w:rPr>
  </w:style>
  <w:style w:type="character" w:styleId="FootnoteReference">
    <w:name w:val="footnote reference"/>
    <w:basedOn w:val="DefaultParagraphFont"/>
    <w:uiPriority w:val="99"/>
    <w:rsid w:val="002A07B6"/>
    <w:rPr>
      <w:vertAlign w:val="superscript"/>
    </w:rPr>
  </w:style>
  <w:style w:type="character" w:customStyle="1" w:styleId="apple-style-span">
    <w:name w:val="apple-style-span"/>
    <w:basedOn w:val="DefaultParagraphFont"/>
    <w:rsid w:val="00776567"/>
  </w:style>
  <w:style w:type="character" w:customStyle="1" w:styleId="apple-converted-space">
    <w:name w:val="apple-converted-space"/>
    <w:basedOn w:val="DefaultParagraphFont"/>
    <w:rsid w:val="007765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paragraph" w:styleId="ListParagraph">
    <w:name w:val="List Paragraph"/>
    <w:basedOn w:val="Normal"/>
    <w:rsid w:val="0019760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A07B6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07B6"/>
    <w:rPr>
      <w:rFonts w:ascii="Times New Roman" w:eastAsia="Times New Roman" w:hAnsi="Times New Roman"/>
      <w:lang w:val="en-GB" w:eastAsia="fr-FR"/>
    </w:rPr>
  </w:style>
  <w:style w:type="character" w:styleId="FootnoteReference">
    <w:name w:val="footnote reference"/>
    <w:basedOn w:val="DefaultParagraphFont"/>
    <w:uiPriority w:val="99"/>
    <w:rsid w:val="002A07B6"/>
    <w:rPr>
      <w:vertAlign w:val="superscript"/>
    </w:rPr>
  </w:style>
  <w:style w:type="character" w:customStyle="1" w:styleId="apple-style-span">
    <w:name w:val="apple-style-span"/>
    <w:basedOn w:val="DefaultParagraphFont"/>
    <w:rsid w:val="00776567"/>
  </w:style>
  <w:style w:type="character" w:customStyle="1" w:styleId="apple-converted-space">
    <w:name w:val="apple-converted-space"/>
    <w:basedOn w:val="DefaultParagraphFont"/>
    <w:rsid w:val="0077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gi.eu/about/news/" TargetMode="External"/><Relationship Id="rId4" Type="http://schemas.openxmlformats.org/officeDocument/2006/relationships/hyperlink" Target="http://twitter.com/egi_inspire" TargetMode="External"/><Relationship Id="rId5" Type="http://schemas.openxmlformats.org/officeDocument/2006/relationships/hyperlink" Target="https://www.egi.eu/indico/" TargetMode="External"/><Relationship Id="rId6" Type="http://schemas.openxmlformats.org/officeDocument/2006/relationships/hyperlink" Target="https://www.egi.eu/indico/conferenceDisplay.py?confId=48" TargetMode="External"/><Relationship Id="rId7" Type="http://schemas.openxmlformats.org/officeDocument/2006/relationships/hyperlink" Target="https://www.egi.eu/indico/conferenceDisplay.py?confId=207" TargetMode="External"/><Relationship Id="rId8" Type="http://schemas.openxmlformats.org/officeDocument/2006/relationships/hyperlink" Target="https://www.egi.eu/indico/conferenceDisplay.py?confId=452" TargetMode="External"/><Relationship Id="rId9" Type="http://schemas.openxmlformats.org/officeDocument/2006/relationships/hyperlink" Target="https://sites.google.com/a/ige-project.eu/public/news-events/news/20110207a" TargetMode="External"/><Relationship Id="rId10" Type="http://schemas.openxmlformats.org/officeDocument/2006/relationships/hyperlink" Target="https://sites.google.com/a/ige-project.eu/public/news-events/news/igesignsservicelevelagreementwithegi" TargetMode="External"/><Relationship Id="rId11" Type="http://schemas.openxmlformats.org/officeDocument/2006/relationships/hyperlink" Target="http://www.globuseurope.org/" TargetMode="External"/><Relationship Id="rId1" Type="http://schemas.openxmlformats.org/officeDocument/2006/relationships/hyperlink" Target="http://www.egi.eu/collaboration/" TargetMode="External"/><Relationship Id="rId2" Type="http://schemas.openxmlformats.org/officeDocument/2006/relationships/hyperlink" Target="http://www.egi.eu/collaboration/CHAI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B800-1042-B04E-BE01-A8FFDB4D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473</Words>
  <Characters>2698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EGI-InSPIRE Policy Template</vt:lpstr>
    </vt:vector>
  </TitlesOfParts>
  <Company>EGI.eu</Company>
  <LinksUpToDate>false</LinksUpToDate>
  <CharactersWithSpaces>3165</CharactersWithSpaces>
  <SharedDoc>false</SharedDoc>
  <HyperlinkBase/>
  <HLinks>
    <vt:vector size="6" baseType="variant"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https://documents.egi.eu/document/169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EGI-InSPIRE Policy Template</dc:title>
  <dc:creator>Sergio Andreozzi</dc:creator>
  <cp:lastModifiedBy>Damir  Marinovic</cp:lastModifiedBy>
  <cp:revision>29</cp:revision>
  <dcterms:created xsi:type="dcterms:W3CDTF">2011-12-02T16:16:00Z</dcterms:created>
  <dcterms:modified xsi:type="dcterms:W3CDTF">2012-01-13T12:24:00Z</dcterms:modified>
</cp:coreProperties>
</file>