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spacing w:before="120" w:lineRule="auto"/>
              <w:jc w:val="left"/>
              <w:rPr>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b w:val="1"/>
                <w:color w:val="000000"/>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color w:val="000000"/>
                <w:sz w:val="20"/>
                <w:szCs w:val="20"/>
                <w:highlight w:val="yellow"/>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b w:val="1"/>
                <w:sz w:val="20"/>
                <w:szCs w:val="20"/>
              </w:rPr>
            </w:pPr>
            <w:r w:rsidDel="00000000" w:rsidR="00000000" w:rsidRPr="00000000">
              <w:rPr>
                <w:b w:val="1"/>
                <w:sz w:val="20"/>
                <w:szCs w:val="20"/>
                <w:rtl w:val="0"/>
              </w:rPr>
              <w:t xml:space="preserve">Agreement finalization date</w:t>
            </w:r>
          </w:p>
        </w:tc>
        <w:tc>
          <w:tcPr>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color w:val="000000"/>
                <w:sz w:val="20"/>
                <w:szCs w:val="20"/>
                <w:highlight w:val="yellow"/>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80" w:space="0" w:sz="20" w:val="single"/>
            </w:tcBorders>
            <w:shd w:fill="auto" w:val="clear"/>
            <w:vAlign w:val="center"/>
          </w:tcPr>
          <w:p w:rsidR="00000000" w:rsidDel="00000000" w:rsidP="00000000" w:rsidRDefault="00000000" w:rsidRPr="00000000" w14:paraId="00000015">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yellow"/>
              </w:rPr>
            </w:pPr>
            <w:r w:rsidDel="00000000" w:rsidR="00000000" w:rsidRPr="00000000">
              <w:rPr>
                <w:color w:val="000000"/>
                <w:sz w:val="20"/>
                <w:szCs w:val="20"/>
                <w:highlight w:val="yellow"/>
                <w:rtl w:val="0"/>
              </w:rPr>
              <w:t xml:space="preserve">[link to </w:t>
            </w:r>
            <w:r w:rsidDel="00000000" w:rsidR="00000000" w:rsidRPr="00000000">
              <w:rPr>
                <w:sz w:val="20"/>
                <w:szCs w:val="20"/>
                <w:highlight w:val="yellow"/>
                <w:rtl w:val="0"/>
              </w:rPr>
              <w:t xml:space="preserve">document db</w:t>
            </w:r>
            <w:r w:rsidDel="00000000" w:rsidR="00000000" w:rsidRPr="00000000">
              <w:rPr>
                <w:color w:val="000000"/>
                <w:sz w:val="20"/>
                <w:szCs w:val="20"/>
                <w:highlight w:val="yellow"/>
                <w:rtl w:val="0"/>
              </w:rPr>
              <w:t xml:space="preserve">]</w:t>
            </w:r>
            <w:r w:rsidDel="00000000" w:rsidR="00000000" w:rsidRPr="00000000">
              <w:rPr>
                <w:rtl w:val="0"/>
              </w:rPr>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heading=h.gjdgxs" w:id="0"/>
          <w:bookmarkEnd w:id="0"/>
          <w:r w:rsidDel="00000000" w:rsidR="00000000" w:rsidRPr="00000000">
            <w:fldChar w:fldCharType="begin"/>
            <w:instrText xml:space="preserve"> TOC \h \u \z </w:instrText>
            <w:fldChar w:fldCharType="separate"/>
          </w:r>
          <w:hyperlink w:anchor="_heading=h.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3znysh7">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2et92p0">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3dy6vkm">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1t3h5sf">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2s8eyo1">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17dp8vu">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3rdcrjn">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26in1rg">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lnxbz9">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1ksv4uv">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1y810tw">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4i7ojhp">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2xcytpi">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1ci93xb">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qsh70q">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3as4poj">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1pxezwc">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4">
      <w:pPr>
        <w:rPr/>
      </w:pPr>
      <w:r w:rsidDel="00000000" w:rsidR="00000000" w:rsidRPr="00000000">
        <w:rPr>
          <w:rtl w:val="0"/>
        </w:rPr>
        <w:t xml:space="preserve">The Agreement was discussed and approved by the EGI Foundation 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numPr>
          <w:ilvl w:val="0"/>
          <w:numId w:val="11"/>
        </w:numPr>
        <w:ind w:left="432" w:hanging="432"/>
        <w:rPr/>
      </w:pPr>
      <w:bookmarkStart w:colFirst="0" w:colLast="0" w:name="_heading=h.30j0zll" w:id="1"/>
      <w:bookmarkEnd w:id="1"/>
      <w:r w:rsidDel="00000000" w:rsidR="00000000" w:rsidRPr="00000000">
        <w:rPr>
          <w:rtl w:val="0"/>
        </w:rPr>
        <w:t xml:space="preserve">The Services</w:t>
      </w:r>
    </w:p>
    <w:p w:rsidR="00000000" w:rsidDel="00000000" w:rsidP="00000000" w:rsidRDefault="00000000" w:rsidRPr="00000000" w14:paraId="00000047">
      <w:pPr>
        <w:rPr/>
      </w:pPr>
      <w:r w:rsidDel="00000000" w:rsidR="00000000" w:rsidRPr="00000000">
        <w:rPr>
          <w:rtl w:val="0"/>
        </w:rPr>
        <w:t xml:space="preserve">Possible allocation types:</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Pledged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Opportunistic - Resources are not exclusively allocated, but subject to local availability.</w:t>
      </w:r>
      <w:r w:rsidDel="00000000" w:rsidR="00000000" w:rsidRPr="00000000">
        <w:rPr>
          <w:rtl w:val="0"/>
        </w:rPr>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Time allocation - Resources are available in fair share-like mode for a fixed time period.</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Possible payment mode offer:</w:t>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Sponsored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E">
      <w:pPr>
        <w:numPr>
          <w:ilvl w:val="0"/>
          <w:numId w:val="14"/>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Pay</w:t>
      </w:r>
      <w:r w:rsidDel="00000000" w:rsidR="00000000" w:rsidRPr="00000000">
        <w:rPr>
          <w:rtl w:val="0"/>
        </w:rPr>
        <w:t xml:space="preserve">-for</w:t>
      </w:r>
      <w:r w:rsidDel="00000000" w:rsidR="00000000" w:rsidRPr="00000000">
        <w:rPr>
          <w:color w:val="000000"/>
          <w:rtl w:val="0"/>
        </w:rPr>
        <w:t xml:space="preserve">-use - Model where </w:t>
      </w:r>
      <w:r w:rsidDel="00000000" w:rsidR="00000000" w:rsidRPr="00000000">
        <w:rPr>
          <w:rtl w:val="0"/>
        </w:rPr>
        <w:t xml:space="preserve">customers</w:t>
      </w:r>
      <w:r w:rsidDel="00000000" w:rsidR="00000000" w:rsidRPr="00000000">
        <w:rPr>
          <w:color w:val="000000"/>
          <w:rtl w:val="0"/>
        </w:rPr>
        <w:t xml:space="preserve"> directly pay for the service used.</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Services are defined by the following properties:</w:t>
      </w:r>
    </w:p>
    <w:p w:rsidR="00000000" w:rsidDel="00000000" w:rsidP="00000000" w:rsidRDefault="00000000" w:rsidRPr="00000000" w14:paraId="00000051">
      <w:pPr>
        <w:rPr>
          <w:b w:val="1"/>
        </w:rPr>
      </w:pPr>
      <w:r w:rsidDel="00000000" w:rsidR="00000000" w:rsidRPr="00000000">
        <w:rPr>
          <w:b w:val="1"/>
          <w:rtl w:val="0"/>
        </w:rPr>
        <w:t xml:space="preserve">Cloud Compute (category: Compute)</w:t>
      </w:r>
    </w:p>
    <w:p w:rsidR="00000000" w:rsidDel="00000000" w:rsidP="00000000" w:rsidRDefault="00000000" w:rsidRPr="00000000" w14:paraId="00000052">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55">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r w:rsidDel="00000000" w:rsidR="00000000" w:rsidRPr="00000000">
        <w:rPr>
          <w:rtl w:val="0"/>
        </w:rPr>
      </w:r>
    </w:p>
    <w:p w:rsidR="00000000" w:rsidDel="00000000" w:rsidP="00000000" w:rsidRDefault="00000000" w:rsidRPr="00000000" w14:paraId="00000056">
      <w:pPr>
        <w:numPr>
          <w:ilvl w:val="2"/>
          <w:numId w:val="4"/>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7">
      <w:pPr>
        <w:numPr>
          <w:ilvl w:val="2"/>
          <w:numId w:val="4"/>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8">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59">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w:t>
      </w:r>
      <w:r w:rsidDel="00000000" w:rsidR="00000000" w:rsidRPr="00000000">
        <w:rPr>
          <w:rtl w:val="0"/>
        </w:rPr>
      </w:r>
    </w:p>
    <w:p w:rsidR="00000000" w:rsidDel="00000000" w:rsidP="00000000" w:rsidRDefault="00000000" w:rsidRPr="00000000" w14:paraId="0000005A">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5B">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w:t>
      </w:r>
      <w:r w:rsidDel="00000000" w:rsidR="00000000" w:rsidRPr="00000000">
        <w:rPr>
          <w:rtl w:val="0"/>
        </w:rPr>
      </w:r>
    </w:p>
    <w:p w:rsidR="00000000" w:rsidDel="00000000" w:rsidP="00000000" w:rsidRDefault="00000000" w:rsidRPr="00000000" w14:paraId="0000005C">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5D">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63">
      <w:pPr>
        <w:numPr>
          <w:ilvl w:val="1"/>
          <w:numId w:val="6"/>
        </w:numPr>
        <w:ind w:left="1080" w:hanging="360"/>
        <w:rPr>
          <w:highlight w:val="yellow"/>
        </w:rPr>
      </w:pPr>
      <w:r w:rsidDel="00000000" w:rsidR="00000000" w:rsidRPr="00000000">
        <w:rPr>
          <w:highlight w:val="yellow"/>
          <w:rtl w:val="0"/>
        </w:rPr>
        <w:t xml:space="preserve">GOCDB endpoints urls: </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6">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68">
      <w:pPr>
        <w:numPr>
          <w:ilvl w:val="1"/>
          <w:numId w:val="4"/>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69">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r w:rsidDel="00000000" w:rsidR="00000000" w:rsidRPr="00000000">
        <w:rPr>
          <w:rtl w:val="0"/>
        </w:rPr>
      </w:r>
    </w:p>
    <w:p w:rsidR="00000000" w:rsidDel="00000000" w:rsidP="00000000" w:rsidRDefault="00000000" w:rsidRPr="00000000" w14:paraId="0000006A">
      <w:pPr>
        <w:numPr>
          <w:ilvl w:val="2"/>
          <w:numId w:val="4"/>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B">
      <w:pPr>
        <w:numPr>
          <w:ilvl w:val="2"/>
          <w:numId w:val="4"/>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C">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6D">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 </w:t>
      </w:r>
      <w:r w:rsidDel="00000000" w:rsidR="00000000" w:rsidRPr="00000000">
        <w:rPr>
          <w:rtl w:val="0"/>
        </w:rPr>
      </w:r>
    </w:p>
    <w:p w:rsidR="00000000" w:rsidDel="00000000" w:rsidP="00000000" w:rsidRDefault="00000000" w:rsidRPr="00000000" w14:paraId="0000006E">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6F">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w:t>
      </w:r>
      <w:r w:rsidDel="00000000" w:rsidR="00000000" w:rsidRPr="00000000">
        <w:rPr>
          <w:rtl w:val="0"/>
        </w:rPr>
      </w:r>
    </w:p>
    <w:p w:rsidR="00000000" w:rsidDel="00000000" w:rsidP="00000000" w:rsidRDefault="00000000" w:rsidRPr="00000000" w14:paraId="00000070">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71">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highlight w:val="yellow"/>
          <w:u w:val="no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A">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7C">
      <w:pPr>
        <w:numPr>
          <w:ilvl w:val="1"/>
          <w:numId w:val="4"/>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High-Throughput Compute</w:t>
      </w:r>
    </w:p>
    <w:p w:rsidR="00000000" w:rsidDel="00000000" w:rsidP="00000000" w:rsidRDefault="00000000" w:rsidRPr="00000000" w14:paraId="0000007D">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computing time [HEPSPEC-hours]: </w:t>
      </w:r>
      <w:r w:rsidDel="00000000" w:rsidR="00000000" w:rsidRPr="00000000">
        <w:rPr>
          <w:rtl w:val="0"/>
        </w:rPr>
      </w:r>
    </w:p>
    <w:p w:rsidR="00000000" w:rsidDel="00000000" w:rsidP="00000000" w:rsidRDefault="00000000" w:rsidRPr="00000000" w14:paraId="0000007E">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computing time [HEPSPEC-hours]:</w:t>
      </w:r>
      <w:r w:rsidDel="00000000" w:rsidR="00000000" w:rsidRPr="00000000">
        <w:rPr>
          <w:rtl w:val="0"/>
        </w:rPr>
      </w:r>
    </w:p>
    <w:p w:rsidR="00000000" w:rsidDel="00000000" w:rsidP="00000000" w:rsidRDefault="00000000" w:rsidRPr="00000000" w14:paraId="0000007F">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job duration [hours]:</w:t>
      </w:r>
      <w:r w:rsidDel="00000000" w:rsidR="00000000" w:rsidRPr="00000000">
        <w:rPr>
          <w:rtl w:val="0"/>
        </w:rPr>
      </w:r>
    </w:p>
    <w:p w:rsidR="00000000" w:rsidDel="00000000" w:rsidP="00000000" w:rsidRDefault="00000000" w:rsidRPr="00000000" w14:paraId="00000080">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81">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number of cores per node:</w:t>
      </w:r>
      <w:r w:rsidDel="00000000" w:rsidR="00000000" w:rsidRPr="00000000">
        <w:rPr>
          <w:rtl w:val="0"/>
        </w:rPr>
      </w:r>
    </w:p>
    <w:p w:rsidR="00000000" w:rsidDel="00000000" w:rsidP="00000000" w:rsidRDefault="00000000" w:rsidRPr="00000000" w14:paraId="00000082">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physical memory per core [GB]:</w:t>
      </w:r>
      <w:r w:rsidDel="00000000" w:rsidR="00000000" w:rsidRPr="00000000">
        <w:rPr>
          <w:rtl w:val="0"/>
        </w:rPr>
      </w:r>
    </w:p>
    <w:p w:rsidR="00000000" w:rsidDel="00000000" w:rsidP="00000000" w:rsidRDefault="00000000" w:rsidRPr="00000000" w14:paraId="00000083">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Middleware: </w:t>
      </w:r>
      <w:r w:rsidDel="00000000" w:rsidR="00000000" w:rsidRPr="00000000">
        <w:rPr>
          <w:rtl w:val="0"/>
        </w:rPr>
      </w:r>
    </w:p>
    <w:p w:rsidR="00000000" w:rsidDel="00000000" w:rsidP="00000000" w:rsidRDefault="00000000" w:rsidRPr="00000000" w14:paraId="00000084">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85">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86">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B">
      <w:pPr>
        <w:numPr>
          <w:ilvl w:val="1"/>
          <w:numId w:val="6"/>
        </w:numPr>
        <w:ind w:left="1080" w:hanging="360"/>
        <w:rPr>
          <w:highlight w:val="yellow"/>
        </w:rPr>
      </w:pPr>
      <w:r w:rsidDel="00000000" w:rsidR="00000000" w:rsidRPr="00000000">
        <w:rPr>
          <w:highlight w:val="yellow"/>
          <w:rtl w:val="0"/>
        </w:rPr>
        <w:t xml:space="preserve">GOCDB endpoints urls: </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1800" w:hanging="720"/>
        <w:rPr>
          <w:b w:val="1"/>
          <w:color w:val="00000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Online Storage (category: Storage)</w:t>
      </w:r>
    </w:p>
    <w:p w:rsidR="00000000" w:rsidDel="00000000" w:rsidP="00000000" w:rsidRDefault="00000000" w:rsidRPr="00000000" w14:paraId="0000008E">
      <w:pPr>
        <w:rPr>
          <w:b w:val="1"/>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Rule="auto"/>
        <w:ind w:left="1800" w:hanging="720"/>
        <w:rPr>
          <w:b w:val="1"/>
          <w:color w:val="000000"/>
        </w:rPr>
      </w:pPr>
      <w:r w:rsidDel="00000000" w:rsidR="00000000" w:rsidRPr="00000000">
        <w:rPr>
          <w:rtl w:val="0"/>
        </w:rPr>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Online Storage</w:t>
      </w:r>
    </w:p>
    <w:p w:rsidR="00000000" w:rsidDel="00000000" w:rsidP="00000000" w:rsidRDefault="00000000" w:rsidRPr="00000000" w14:paraId="00000092">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storage capacity [TB]: </w:t>
      </w:r>
      <w:r w:rsidDel="00000000" w:rsidR="00000000" w:rsidRPr="00000000">
        <w:rPr>
          <w:rtl w:val="0"/>
        </w:rPr>
      </w:r>
    </w:p>
    <w:p w:rsidR="00000000" w:rsidDel="00000000" w:rsidP="00000000" w:rsidRDefault="00000000" w:rsidRPr="00000000" w14:paraId="00000093">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storage capacity [TB]:</w:t>
      </w:r>
      <w:r w:rsidDel="00000000" w:rsidR="00000000" w:rsidRPr="00000000">
        <w:rPr>
          <w:rtl w:val="0"/>
        </w:rPr>
      </w:r>
    </w:p>
    <w:p w:rsidR="00000000" w:rsidDel="00000000" w:rsidP="00000000" w:rsidRDefault="00000000" w:rsidRPr="00000000" w14:paraId="00000094">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Standard interfaces supported</w:t>
      </w:r>
      <w:r w:rsidDel="00000000" w:rsidR="00000000" w:rsidRPr="00000000">
        <w:rPr>
          <w:color w:val="000000"/>
          <w:highlight w:val="yellow"/>
          <w:vertAlign w:val="superscript"/>
        </w:rPr>
        <w:footnoteReference w:customMarkFollows="0" w:id="1"/>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95">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Storage technology</w:t>
      </w:r>
      <w:r w:rsidDel="00000000" w:rsidR="00000000" w:rsidRPr="00000000">
        <w:rPr>
          <w:color w:val="000000"/>
          <w:highlight w:val="yellow"/>
          <w:vertAlign w:val="superscript"/>
        </w:rPr>
        <w:footnoteReference w:customMarkFollows="0" w:id="2"/>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96">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97">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98">
      <w:pPr>
        <w:numPr>
          <w:ilvl w:val="2"/>
          <w:numId w:val="4"/>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D">
      <w:pPr>
        <w:numPr>
          <w:ilvl w:val="1"/>
          <w:numId w:val="6"/>
        </w:numPr>
        <w:ind w:left="1080" w:hanging="360"/>
        <w:rPr>
          <w:highlight w:val="yellow"/>
        </w:rPr>
      </w:pPr>
      <w:r w:rsidDel="00000000" w:rsidR="00000000" w:rsidRPr="00000000">
        <w:rPr>
          <w:highlight w:val="yellow"/>
          <w:rtl w:val="0"/>
        </w:rPr>
        <w:t xml:space="preserve">GOCDB endpoints urls: </w:t>
      </w:r>
    </w:p>
    <w:p w:rsidR="00000000" w:rsidDel="00000000" w:rsidP="00000000" w:rsidRDefault="00000000" w:rsidRPr="00000000" w14:paraId="0000009E">
      <w:pPr>
        <w:rPr>
          <w:highlight w:val="yellow"/>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Notebooks (category: Applications)</w:t>
      </w:r>
    </w:p>
    <w:p w:rsidR="00000000" w:rsidDel="00000000" w:rsidP="00000000" w:rsidRDefault="00000000" w:rsidRPr="00000000" w14:paraId="000000A0">
      <w:pPr>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A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A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A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A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A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C">
      <w:pPr>
        <w:numPr>
          <w:ilvl w:val="2"/>
          <w:numId w:val="6"/>
        </w:numPr>
        <w:ind w:left="1800" w:hanging="360"/>
        <w:rPr>
          <w:highlight w:val="yellow"/>
        </w:rPr>
      </w:pPr>
      <w:r w:rsidDel="00000000" w:rsidR="00000000" w:rsidRPr="00000000">
        <w:rPr>
          <w:highlight w:val="yellow"/>
          <w:rtl w:val="0"/>
        </w:rPr>
        <w:t xml:space="preserve">GOCDB endpoints urls: </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hanging="720"/>
        <w:rPr>
          <w:b w:val="1"/>
          <w:color w:val="000000"/>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AE">
      <w:pPr>
        <w:pStyle w:val="Heading1"/>
        <w:numPr>
          <w:ilvl w:val="0"/>
          <w:numId w:val="11"/>
        </w:numPr>
        <w:ind w:left="432" w:hanging="432"/>
        <w:rPr/>
      </w:pPr>
      <w:bookmarkStart w:colFirst="0" w:colLast="0" w:name="_heading=h.3znysh7" w:id="3"/>
      <w:bookmarkEnd w:id="3"/>
      <w:r w:rsidDel="00000000" w:rsidR="00000000" w:rsidRPr="00000000">
        <w:rPr>
          <w:rtl w:val="0"/>
        </w:rPr>
        <w:t xml:space="preserve">Service hours and exceptions</w:t>
      </w:r>
    </w:p>
    <w:p w:rsidR="00000000" w:rsidDel="00000000" w:rsidP="00000000" w:rsidRDefault="00000000" w:rsidRPr="00000000" w14:paraId="000000AF">
      <w:pPr>
        <w:rPr/>
      </w:pPr>
      <w:r w:rsidDel="00000000" w:rsidR="00000000" w:rsidRPr="00000000">
        <w:rPr>
          <w:rtl w:val="0"/>
        </w:rPr>
        <w:t xml:space="preserve">As defined in Resource Center OLA.</w:t>
      </w:r>
    </w:p>
    <w:p w:rsidR="00000000" w:rsidDel="00000000" w:rsidP="00000000" w:rsidRDefault="00000000" w:rsidRPr="00000000" w14:paraId="000000B0">
      <w:pPr>
        <w:pStyle w:val="Heading1"/>
        <w:numPr>
          <w:ilvl w:val="0"/>
          <w:numId w:val="11"/>
        </w:numPr>
        <w:ind w:left="432" w:hanging="432"/>
        <w:rPr/>
      </w:pPr>
      <w:bookmarkStart w:colFirst="0" w:colLast="0" w:name="_heading=h.2et92p0" w:id="4"/>
      <w:bookmarkEnd w:id="4"/>
      <w:r w:rsidDel="00000000" w:rsidR="00000000" w:rsidRPr="00000000">
        <w:rPr>
          <w:rtl w:val="0"/>
        </w:rPr>
        <w:t xml:space="preserve">Support</w:t>
      </w:r>
    </w:p>
    <w:p w:rsidR="00000000" w:rsidDel="00000000" w:rsidP="00000000" w:rsidRDefault="00000000" w:rsidRPr="00000000" w14:paraId="000000B1">
      <w:pPr>
        <w:rPr/>
      </w:pPr>
      <w:bookmarkStart w:colFirst="0" w:colLast="0" w:name="_heading=h.tyjcwt" w:id="5"/>
      <w:bookmarkEnd w:id="5"/>
      <w:r w:rsidDel="00000000" w:rsidR="00000000" w:rsidRPr="00000000">
        <w:rPr>
          <w:rtl w:val="0"/>
        </w:rPr>
        <w:t xml:space="preserve">As defined in Resource Center OLA.</w:t>
      </w:r>
    </w:p>
    <w:p w:rsidR="00000000" w:rsidDel="00000000" w:rsidP="00000000" w:rsidRDefault="00000000" w:rsidRPr="00000000" w14:paraId="000000B2">
      <w:pPr>
        <w:pStyle w:val="Heading2"/>
        <w:numPr>
          <w:ilvl w:val="1"/>
          <w:numId w:val="11"/>
        </w:numPr>
        <w:ind w:left="576" w:hanging="576"/>
        <w:rPr/>
      </w:pPr>
      <w:bookmarkStart w:colFirst="0" w:colLast="0" w:name="_heading=h.3dy6vkm" w:id="6"/>
      <w:bookmarkEnd w:id="6"/>
      <w:r w:rsidDel="00000000" w:rsidR="00000000" w:rsidRPr="00000000">
        <w:rPr>
          <w:rtl w:val="0"/>
        </w:rPr>
        <w:t xml:space="preserve">Incident handling</w:t>
      </w:r>
    </w:p>
    <w:p w:rsidR="00000000" w:rsidDel="00000000" w:rsidP="00000000" w:rsidRDefault="00000000" w:rsidRPr="00000000" w14:paraId="000000B3">
      <w:pPr>
        <w:rPr/>
      </w:pPr>
      <w:r w:rsidDel="00000000" w:rsidR="00000000" w:rsidRPr="00000000">
        <w:rPr>
          <w:rtl w:val="0"/>
        </w:rPr>
        <w:t xml:space="preserve">As defined in Resource Center OLA.</w:t>
      </w:r>
    </w:p>
    <w:p w:rsidR="00000000" w:rsidDel="00000000" w:rsidP="00000000" w:rsidRDefault="00000000" w:rsidRPr="00000000" w14:paraId="000000B4">
      <w:pPr>
        <w:pStyle w:val="Heading2"/>
        <w:numPr>
          <w:ilvl w:val="1"/>
          <w:numId w:val="11"/>
        </w:numPr>
        <w:ind w:left="576" w:hanging="576"/>
        <w:rPr/>
      </w:pPr>
      <w:bookmarkStart w:colFirst="0" w:colLast="0" w:name="_heading=h.1t3h5sf" w:id="7"/>
      <w:bookmarkEnd w:id="7"/>
      <w:r w:rsidDel="00000000" w:rsidR="00000000" w:rsidRPr="00000000">
        <w:rPr>
          <w:rtl w:val="0"/>
        </w:rPr>
        <w:t xml:space="preserve">Service requests</w:t>
      </w:r>
    </w:p>
    <w:p w:rsidR="00000000" w:rsidDel="00000000" w:rsidP="00000000" w:rsidRDefault="00000000" w:rsidRPr="00000000" w14:paraId="000000B5">
      <w:pPr>
        <w:rPr/>
      </w:pPr>
      <w:bookmarkStart w:colFirst="0" w:colLast="0" w:name="_heading=h.4d34og8" w:id="8"/>
      <w:bookmarkEnd w:id="8"/>
      <w:r w:rsidDel="00000000" w:rsidR="00000000" w:rsidRPr="00000000">
        <w:rPr>
          <w:rtl w:val="0"/>
        </w:rPr>
        <w:t xml:space="preserve">As defined in Resource Center OLA.</w:t>
      </w:r>
    </w:p>
    <w:p w:rsidR="00000000" w:rsidDel="00000000" w:rsidP="00000000" w:rsidRDefault="00000000" w:rsidRPr="00000000" w14:paraId="000000B6">
      <w:pPr>
        <w:pStyle w:val="Heading1"/>
        <w:numPr>
          <w:ilvl w:val="0"/>
          <w:numId w:val="11"/>
        </w:numPr>
        <w:ind w:left="432" w:hanging="432"/>
        <w:rPr/>
      </w:pPr>
      <w:bookmarkStart w:colFirst="0" w:colLast="0" w:name="_heading=h.2s8eyo1" w:id="9"/>
      <w:bookmarkEnd w:id="9"/>
      <w:r w:rsidDel="00000000" w:rsidR="00000000" w:rsidRPr="00000000">
        <w:rPr>
          <w:rtl w:val="0"/>
        </w:rPr>
        <w:t xml:space="preserve">Service level targets</w:t>
      </w:r>
    </w:p>
    <w:p w:rsidR="00000000" w:rsidDel="00000000" w:rsidP="00000000" w:rsidRDefault="00000000" w:rsidRPr="00000000" w14:paraId="000000B7">
      <w:pPr>
        <w:rPr>
          <w:b w:val="1"/>
        </w:rPr>
      </w:pPr>
      <w:r w:rsidDel="00000000" w:rsidR="00000000" w:rsidRPr="00000000">
        <w:rPr>
          <w:b w:val="1"/>
          <w:rtl w:val="0"/>
        </w:rPr>
        <w:t xml:space="preserve">Monthly Availability </w:t>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Monthly Reliability</w:t>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Quality of Support level</w:t>
      </w:r>
    </w:p>
    <w:p w:rsidR="00000000" w:rsidDel="00000000" w:rsidP="00000000" w:rsidRDefault="00000000" w:rsidRPr="00000000" w14:paraId="000000BE">
      <w:pPr>
        <w:numPr>
          <w:ilvl w:val="0"/>
          <w:numId w:val="8"/>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BF">
      <w:pPr>
        <w:pStyle w:val="Heading1"/>
        <w:numPr>
          <w:ilvl w:val="0"/>
          <w:numId w:val="11"/>
        </w:numPr>
        <w:ind w:left="432" w:hanging="432"/>
        <w:rPr/>
      </w:pPr>
      <w:bookmarkStart w:colFirst="0" w:colLast="0" w:name="_heading=h.17dp8vu" w:id="10"/>
      <w:bookmarkEnd w:id="10"/>
      <w:r w:rsidDel="00000000" w:rsidR="00000000" w:rsidRPr="00000000">
        <w:rPr>
          <w:rtl w:val="0"/>
        </w:rPr>
        <w:t xml:space="preserve">Limitations and constraints</w:t>
      </w:r>
    </w:p>
    <w:p w:rsidR="00000000" w:rsidDel="00000000" w:rsidP="00000000" w:rsidRDefault="00000000" w:rsidRPr="00000000" w14:paraId="000000C0">
      <w:pPr>
        <w:rPr/>
      </w:pPr>
      <w:r w:rsidDel="00000000" w:rsidR="00000000" w:rsidRPr="00000000">
        <w:rPr>
          <w:rtl w:val="0"/>
        </w:rPr>
        <w:t xml:space="preserve">As defined in Resource Center OLA and:</w:t>
      </w:r>
    </w:p>
    <w:p w:rsidR="00000000" w:rsidDel="00000000" w:rsidP="00000000" w:rsidRDefault="00000000" w:rsidRPr="00000000" w14:paraId="000000C1">
      <w:pPr>
        <w:numPr>
          <w:ilvl w:val="0"/>
          <w:numId w:val="10"/>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C2">
      <w:pPr>
        <w:numPr>
          <w:ilvl w:val="0"/>
          <w:numId w:val="10"/>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C3">
      <w:pPr>
        <w:pStyle w:val="Heading1"/>
        <w:numPr>
          <w:ilvl w:val="0"/>
          <w:numId w:val="11"/>
        </w:numPr>
        <w:ind w:left="432" w:hanging="432"/>
        <w:rPr/>
      </w:pPr>
      <w:bookmarkStart w:colFirst="0" w:colLast="0" w:name="_heading=h.3rdcrjn" w:id="11"/>
      <w:bookmarkEnd w:id="11"/>
      <w:r w:rsidDel="00000000" w:rsidR="00000000" w:rsidRPr="00000000">
        <w:rPr>
          <w:rtl w:val="0"/>
        </w:rPr>
        <w:t xml:space="preserve">Communication, reporting and escalation</w:t>
      </w:r>
    </w:p>
    <w:p w:rsidR="00000000" w:rsidDel="00000000" w:rsidP="00000000" w:rsidRDefault="00000000" w:rsidRPr="00000000" w14:paraId="000000C4">
      <w:pPr>
        <w:pStyle w:val="Heading2"/>
        <w:numPr>
          <w:ilvl w:val="1"/>
          <w:numId w:val="11"/>
        </w:numPr>
        <w:ind w:left="576" w:hanging="576"/>
        <w:rPr/>
      </w:pPr>
      <w:bookmarkStart w:colFirst="0" w:colLast="0" w:name="_heading=h.26in1rg" w:id="12"/>
      <w:bookmarkEnd w:id="12"/>
      <w:r w:rsidDel="00000000" w:rsidR="00000000" w:rsidRPr="00000000">
        <w:rPr>
          <w:rtl w:val="0"/>
        </w:rPr>
        <w:t xml:space="preserve">General communication</w:t>
      </w:r>
    </w:p>
    <w:p w:rsidR="00000000" w:rsidDel="00000000" w:rsidP="00000000" w:rsidRDefault="00000000" w:rsidRPr="00000000" w14:paraId="000000C5">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C6">
      <w:pPr>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C7">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C8">
            <w:pPr>
              <w:rPr/>
            </w:pPr>
            <w:r w:rsidDel="00000000" w:rsidR="00000000" w:rsidRPr="00000000">
              <w:rPr>
                <w:rtl w:val="0"/>
              </w:rPr>
              <w:t xml:space="preserve">Giuseppe La Rocca</w:t>
            </w:r>
          </w:p>
          <w:p w:rsidR="00000000" w:rsidDel="00000000" w:rsidP="00000000" w:rsidRDefault="00000000" w:rsidRPr="00000000" w14:paraId="000000C9">
            <w:pPr>
              <w:rPr>
                <w:highlight w:val="yellow"/>
              </w:rPr>
            </w:pPr>
            <w:hyperlink r:id="rId15">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rPr>
                <w:highlight w:val="yellow"/>
              </w:rPr>
            </w:pPr>
            <w:r w:rsidDel="00000000" w:rsidR="00000000" w:rsidRPr="00000000">
              <w:rPr>
                <w:rtl w:val="0"/>
              </w:rPr>
              <w:t xml:space="preserve">SLA Coordinator at EGI Foundation  </w:t>
            </w:r>
            <w:r w:rsidDel="00000000" w:rsidR="00000000" w:rsidRPr="00000000">
              <w:rPr>
                <w:rtl w:val="0"/>
              </w:rPr>
            </w:r>
          </w:p>
        </w:tc>
      </w:tr>
      <w:tr>
        <w:tc>
          <w:tcPr>
            <w:shd w:fill="b8cce4" w:val="clear"/>
          </w:tcPr>
          <w:p w:rsidR="00000000" w:rsidDel="00000000" w:rsidP="00000000" w:rsidRDefault="00000000" w:rsidRPr="00000000" w14:paraId="000000CB">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0CC">
            <w:pPr>
              <w:jc w:val="left"/>
              <w:rPr/>
            </w:pPr>
            <w:r w:rsidDel="00000000" w:rsidR="00000000" w:rsidRPr="00000000">
              <w:rPr>
                <w:rtl w:val="0"/>
              </w:rPr>
              <w:t xml:space="preserve">Matthew Viljoen </w:t>
              <w:br w:type="textWrapping"/>
            </w:r>
            <w:hyperlink r:id="rId16">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0CD">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CE">
            <w:pPr>
              <w:rPr>
                <w:highlight w:val="yellow"/>
              </w:rPr>
            </w:pPr>
            <w:r w:rsidDel="00000000" w:rsidR="00000000" w:rsidRPr="00000000">
              <w:rPr>
                <w:highlight w:val="yellow"/>
                <w:rtl w:val="0"/>
              </w:rPr>
              <w:t xml:space="preserve">[name]</w:t>
            </w:r>
          </w:p>
          <w:p w:rsidR="00000000" w:rsidDel="00000000" w:rsidP="00000000" w:rsidRDefault="00000000" w:rsidRPr="00000000" w14:paraId="000000CF">
            <w:pPr>
              <w:rPr>
                <w:highlight w:val="yellow"/>
              </w:rPr>
            </w:pPr>
            <w:r w:rsidDel="00000000" w:rsidR="00000000" w:rsidRPr="00000000">
              <w:rPr>
                <w:highlight w:val="yellow"/>
                <w:rtl w:val="0"/>
              </w:rPr>
              <w:t xml:space="preserve">[email] </w:t>
            </w:r>
          </w:p>
          <w:p w:rsidR="00000000" w:rsidDel="00000000" w:rsidP="00000000" w:rsidRDefault="00000000" w:rsidRPr="00000000" w14:paraId="000000D0">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D1">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D2">
            <w:pPr>
              <w:rPr>
                <w:highlight w:val="yellow"/>
              </w:rPr>
            </w:pPr>
            <w:r w:rsidDel="00000000" w:rsidR="00000000" w:rsidRPr="00000000">
              <w:rPr>
                <w:highlight w:val="yellow"/>
                <w:rtl w:val="0"/>
              </w:rPr>
              <w:t xml:space="preserve">[name]</w:t>
            </w:r>
          </w:p>
          <w:p w:rsidR="00000000" w:rsidDel="00000000" w:rsidP="00000000" w:rsidRDefault="00000000" w:rsidRPr="00000000" w14:paraId="000000D3">
            <w:pPr>
              <w:rPr>
                <w:highlight w:val="yellow"/>
              </w:rPr>
            </w:pPr>
            <w:r w:rsidDel="00000000" w:rsidR="00000000" w:rsidRPr="00000000">
              <w:rPr>
                <w:highlight w:val="yellow"/>
                <w:rtl w:val="0"/>
              </w:rPr>
              <w:t xml:space="preserve">[email] </w:t>
            </w:r>
          </w:p>
          <w:p w:rsidR="00000000" w:rsidDel="00000000" w:rsidP="00000000" w:rsidRDefault="00000000" w:rsidRPr="00000000" w14:paraId="000000D4">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0D5">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D6">
            <w:pPr>
              <w:rPr/>
            </w:pPr>
            <w:r w:rsidDel="00000000" w:rsidR="00000000" w:rsidRPr="00000000">
              <w:rPr>
                <w:rtl w:val="0"/>
              </w:rPr>
              <w:t xml:space="preserve">See Section 3</w:t>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2"/>
        <w:numPr>
          <w:ilvl w:val="1"/>
          <w:numId w:val="11"/>
        </w:numPr>
        <w:ind w:left="576" w:hanging="576"/>
        <w:rPr/>
      </w:pPr>
      <w:bookmarkStart w:colFirst="0" w:colLast="0" w:name="_heading=h.lnxbz9" w:id="13"/>
      <w:bookmarkEnd w:id="13"/>
      <w:r w:rsidDel="00000000" w:rsidR="00000000" w:rsidRPr="00000000">
        <w:rPr>
          <w:rtl w:val="0"/>
        </w:rPr>
        <w:t xml:space="preserve">Regular reporting</w:t>
      </w:r>
    </w:p>
    <w:p w:rsidR="00000000" w:rsidDel="00000000" w:rsidP="00000000" w:rsidRDefault="00000000" w:rsidRPr="00000000" w14:paraId="000000D9">
      <w:pPr>
        <w:rPr/>
      </w:pPr>
      <w:bookmarkStart w:colFirst="0" w:colLast="0" w:name="_heading=h.35nkun2" w:id="14"/>
      <w:bookmarkEnd w:id="14"/>
      <w:r w:rsidDel="00000000" w:rsidR="00000000" w:rsidRPr="00000000">
        <w:rPr>
          <w:rtl w:val="0"/>
        </w:rPr>
        <w:t xml:space="preserve">As defined in Resource Center OLA.</w:t>
      </w:r>
    </w:p>
    <w:p w:rsidR="00000000" w:rsidDel="00000000" w:rsidP="00000000" w:rsidRDefault="00000000" w:rsidRPr="00000000" w14:paraId="000000DA">
      <w:pPr>
        <w:pStyle w:val="Heading2"/>
        <w:numPr>
          <w:ilvl w:val="1"/>
          <w:numId w:val="11"/>
        </w:numPr>
        <w:ind w:left="576" w:hanging="576"/>
        <w:rPr/>
      </w:pPr>
      <w:bookmarkStart w:colFirst="0" w:colLast="0" w:name="_heading=h.1ksv4uv" w:id="15"/>
      <w:bookmarkEnd w:id="15"/>
      <w:r w:rsidDel="00000000" w:rsidR="00000000" w:rsidRPr="00000000">
        <w:rPr>
          <w:rtl w:val="0"/>
        </w:rPr>
        <w:t xml:space="preserve">Violations</w:t>
      </w:r>
    </w:p>
    <w:p w:rsidR="00000000" w:rsidDel="00000000" w:rsidP="00000000" w:rsidRDefault="00000000" w:rsidRPr="00000000" w14:paraId="000000DB">
      <w:pPr>
        <w:rPr/>
      </w:pPr>
      <w:bookmarkStart w:colFirst="0" w:colLast="0" w:name="_heading=h.44sinio" w:id="16"/>
      <w:bookmarkEnd w:id="16"/>
      <w:r w:rsidDel="00000000" w:rsidR="00000000" w:rsidRPr="00000000">
        <w:rPr>
          <w:rtl w:val="0"/>
        </w:rPr>
        <w:t xml:space="preserve">The following rules are agreed for communication in the event of violation:</w:t>
      </w:r>
    </w:p>
    <w:p w:rsidR="00000000" w:rsidDel="00000000" w:rsidP="00000000" w:rsidRDefault="00000000" w:rsidRPr="00000000" w14:paraId="000000DC">
      <w:pPr>
        <w:numPr>
          <w:ilvl w:val="0"/>
          <w:numId w:val="9"/>
        </w:numPr>
        <w:spacing w:after="0" w:lineRule="auto"/>
        <w:ind w:left="720" w:hanging="360"/>
        <w:rPr>
          <w:u w:val="none"/>
        </w:rPr>
      </w:pPr>
      <w:bookmarkStart w:colFirst="0" w:colLast="0" w:name="_heading=h.2jxsxqh" w:id="17"/>
      <w:bookmarkEnd w:id="17"/>
      <w:r w:rsidDel="00000000" w:rsidR="00000000" w:rsidRPr="00000000">
        <w:rPr>
          <w:rtl w:val="0"/>
        </w:rPr>
        <w:t xml:space="preserve">In case of violations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 </w:t>
      </w:r>
      <w:r w:rsidDel="00000000" w:rsidR="00000000" w:rsidRPr="00000000">
        <w:rPr>
          <w:rtl w:val="0"/>
        </w:rPr>
      </w:r>
    </w:p>
    <w:p w:rsidR="00000000" w:rsidDel="00000000" w:rsidP="00000000" w:rsidRDefault="00000000" w:rsidRPr="00000000" w14:paraId="000000DD">
      <w:pPr>
        <w:numPr>
          <w:ilvl w:val="0"/>
          <w:numId w:val="9"/>
        </w:numPr>
        <w:ind w:left="720" w:hanging="360"/>
        <w:rPr>
          <w:u w:val="none"/>
        </w:rPr>
      </w:pPr>
      <w:bookmarkStart w:colFirst="0" w:colLast="0" w:name="_heading=h.z337ya" w:id="18"/>
      <w:bookmarkEnd w:id="18"/>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r w:rsidDel="00000000" w:rsidR="00000000" w:rsidRPr="00000000">
        <w:rPr>
          <w:rtl w:val="0"/>
        </w:rPr>
      </w:r>
    </w:p>
    <w:p w:rsidR="00000000" w:rsidDel="00000000" w:rsidP="00000000" w:rsidRDefault="00000000" w:rsidRPr="00000000" w14:paraId="000000DE">
      <w:pPr>
        <w:rPr/>
      </w:pPr>
      <w:bookmarkStart w:colFirst="0" w:colLast="0" w:name="_heading=h.3j2qqm3" w:id="19"/>
      <w:bookmarkEnd w:id="19"/>
      <w:r w:rsidDel="00000000" w:rsidR="00000000" w:rsidRPr="00000000">
        <w:rPr>
          <w:rtl w:val="0"/>
        </w:rPr>
      </w:r>
    </w:p>
    <w:p w:rsidR="00000000" w:rsidDel="00000000" w:rsidP="00000000" w:rsidRDefault="00000000" w:rsidRPr="00000000" w14:paraId="000000DF">
      <w:pPr>
        <w:pStyle w:val="Heading2"/>
        <w:numPr>
          <w:ilvl w:val="1"/>
          <w:numId w:val="11"/>
        </w:numPr>
        <w:ind w:left="576" w:hanging="576"/>
        <w:rPr/>
      </w:pPr>
      <w:bookmarkStart w:colFirst="0" w:colLast="0" w:name="_heading=h.1y810tw" w:id="20"/>
      <w:bookmarkEnd w:id="20"/>
      <w:r w:rsidDel="00000000" w:rsidR="00000000" w:rsidRPr="00000000">
        <w:rPr>
          <w:rtl w:val="0"/>
        </w:rPr>
        <w:t xml:space="preserve">Escalation and complaints</w:t>
      </w:r>
    </w:p>
    <w:p w:rsidR="00000000" w:rsidDel="00000000" w:rsidP="00000000" w:rsidRDefault="00000000" w:rsidRPr="00000000" w14:paraId="000000E0">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0E1">
      <w:pPr>
        <w:numPr>
          <w:ilvl w:val="0"/>
          <w:numId w:val="5"/>
        </w:numPr>
        <w:spacing w:after="0" w:lineRule="auto"/>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0E2">
      <w:pPr>
        <w:numPr>
          <w:ilvl w:val="0"/>
          <w:numId w:val="5"/>
        </w:numPr>
        <w:ind w:left="720" w:hanging="360"/>
        <w:rPr>
          <w:u w:val="none"/>
        </w:rPr>
      </w:pPr>
      <w:r w:rsidDel="00000000" w:rsidR="00000000" w:rsidRPr="00000000">
        <w:rPr>
          <w:rtl w:val="0"/>
        </w:rPr>
        <w:t xml:space="preserve">Complaints or concerns about the Services provided directed to the EGI Foundation contact will be shared with the Service component provider. </w:t>
      </w:r>
      <w:r w:rsidDel="00000000" w:rsidR="00000000" w:rsidRPr="00000000">
        <w:rPr>
          <w:rtl w:val="0"/>
        </w:rPr>
      </w:r>
    </w:p>
    <w:p w:rsidR="00000000" w:rsidDel="00000000" w:rsidP="00000000" w:rsidRDefault="00000000" w:rsidRPr="00000000" w14:paraId="000000E3">
      <w:pPr>
        <w:pStyle w:val="Heading1"/>
        <w:numPr>
          <w:ilvl w:val="0"/>
          <w:numId w:val="11"/>
        </w:numPr>
        <w:ind w:left="432" w:hanging="432"/>
        <w:rPr/>
      </w:pPr>
      <w:bookmarkStart w:colFirst="0" w:colLast="0" w:name="_heading=h.4i7ojhp" w:id="21"/>
      <w:bookmarkEnd w:id="21"/>
      <w:r w:rsidDel="00000000" w:rsidR="00000000" w:rsidRPr="00000000">
        <w:rPr>
          <w:rtl w:val="0"/>
        </w:rPr>
        <w:t xml:space="preserve">Information security and data protection</w:t>
      </w:r>
    </w:p>
    <w:p w:rsidR="00000000" w:rsidDel="00000000" w:rsidP="00000000" w:rsidRDefault="00000000" w:rsidRPr="00000000" w14:paraId="000000E4">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0E5">
      <w:pPr>
        <w:numPr>
          <w:ilvl w:val="0"/>
          <w:numId w:val="15"/>
        </w:numPr>
        <w:spacing w:after="0" w:lineRule="auto"/>
        <w:ind w:left="720" w:hanging="360"/>
        <w:rPr>
          <w:u w:val="none"/>
        </w:rPr>
      </w:pPr>
      <w:r w:rsidDel="00000000" w:rsidR="00000000" w:rsidRPr="00000000">
        <w:rPr>
          <w:rtl w:val="0"/>
        </w:rPr>
        <w:t xml:space="preserve">Assertion of absolute security in IT systems is impossible. The Component Provider is making every effort to maximize the security level of users’ data and minimise possible harm in the event of an incident.</w:t>
      </w:r>
      <w:r w:rsidDel="00000000" w:rsidR="00000000" w:rsidRPr="00000000">
        <w:rPr>
          <w:rtl w:val="0"/>
        </w:rPr>
      </w:r>
    </w:p>
    <w:p w:rsidR="00000000" w:rsidDel="00000000" w:rsidP="00000000" w:rsidRDefault="00000000" w:rsidRPr="00000000" w14:paraId="000000E6">
      <w:pPr>
        <w:numPr>
          <w:ilvl w:val="0"/>
          <w:numId w:val="15"/>
        </w:numPr>
        <w:spacing w:after="0" w:lineRule="auto"/>
        <w:ind w:left="720" w:hanging="360"/>
        <w:rPr>
          <w:u w:val="none"/>
        </w:rPr>
      </w:pPr>
      <w:r w:rsidDel="00000000" w:rsidR="00000000" w:rsidRPr="00000000">
        <w:rPr>
          <w:rtl w:val="0"/>
        </w:rPr>
        <w:t xml:space="preserve">The Component Provider will define and abide by an information security and data </w:t>
        <w:br w:type="textWrapping"/>
        <w:t xml:space="preserve">protection policy related to the service being provided. </w:t>
      </w:r>
      <w:r w:rsidDel="00000000" w:rsidR="00000000" w:rsidRPr="00000000">
        <w:rPr>
          <w:rtl w:val="0"/>
        </w:rPr>
      </w:r>
    </w:p>
    <w:p w:rsidR="00000000" w:rsidDel="00000000" w:rsidP="00000000" w:rsidRDefault="00000000" w:rsidRPr="00000000" w14:paraId="000000E7">
      <w:pPr>
        <w:numPr>
          <w:ilvl w:val="0"/>
          <w:numId w:val="15"/>
        </w:numPr>
        <w:spacing w:after="0" w:lineRule="auto"/>
        <w:ind w:left="720" w:hanging="360"/>
        <w:rPr>
          <w:u w:val="none"/>
        </w:rPr>
      </w:pPr>
      <w:r w:rsidDel="00000000" w:rsidR="00000000" w:rsidRPr="00000000">
        <w:rPr>
          <w:rtl w:val="0"/>
        </w:rPr>
        <w:t xml:space="preserve">The parties of the Agreement will meet all requirements of any relevant policy or procedure of the Provider</w:t>
      </w:r>
      <w:r w:rsidDel="00000000" w:rsidR="00000000" w:rsidRPr="00000000">
        <w:rPr>
          <w:vertAlign w:val="superscript"/>
        </w:rPr>
        <w:footnoteReference w:customMarkFollows="0" w:id="3"/>
      </w:r>
      <w:r w:rsidDel="00000000" w:rsidR="00000000" w:rsidRPr="00000000">
        <w:rPr>
          <w:rtl w:val="0"/>
        </w:rPr>
        <w:t xml:space="preserve"> and will comply with the applicable national legislation.</w:t>
      </w:r>
      <w:r w:rsidDel="00000000" w:rsidR="00000000" w:rsidRPr="00000000">
        <w:rPr>
          <w:rtl w:val="0"/>
        </w:rPr>
      </w:r>
    </w:p>
    <w:p w:rsidR="00000000" w:rsidDel="00000000" w:rsidP="00000000" w:rsidRDefault="00000000" w:rsidRPr="00000000" w14:paraId="000000E8">
      <w:pPr>
        <w:numPr>
          <w:ilvl w:val="0"/>
          <w:numId w:val="15"/>
        </w:numPr>
        <w:ind w:left="720" w:hanging="360"/>
        <w:rPr>
          <w:u w:val="none"/>
        </w:rPr>
      </w:pPr>
      <w:r w:rsidDel="00000000" w:rsidR="00000000" w:rsidRPr="00000000">
        <w:rPr>
          <w:rtl w:val="0"/>
        </w:rPr>
        <w:t xml:space="preserve">The Component provider holds the role of the data controller.</w:t>
      </w:r>
      <w:r w:rsidDel="00000000" w:rsidR="00000000" w:rsidRPr="00000000">
        <w:rPr>
          <w:rtl w:val="0"/>
        </w:rPr>
      </w:r>
    </w:p>
    <w:p w:rsidR="00000000" w:rsidDel="00000000" w:rsidP="00000000" w:rsidRDefault="00000000" w:rsidRPr="00000000" w14:paraId="000000E9">
      <w:pPr>
        <w:pStyle w:val="Heading1"/>
        <w:numPr>
          <w:ilvl w:val="0"/>
          <w:numId w:val="11"/>
        </w:numPr>
        <w:ind w:left="432" w:hanging="432"/>
        <w:rPr/>
      </w:pPr>
      <w:bookmarkStart w:colFirst="0" w:colLast="0" w:name="_heading=h.2xcytpi" w:id="22"/>
      <w:bookmarkEnd w:id="22"/>
      <w:r w:rsidDel="00000000" w:rsidR="00000000" w:rsidRPr="00000000">
        <w:rPr>
          <w:rtl w:val="0"/>
        </w:rPr>
        <w:t xml:space="preserve">Responsibilities </w:t>
      </w:r>
    </w:p>
    <w:p w:rsidR="00000000" w:rsidDel="00000000" w:rsidP="00000000" w:rsidRDefault="00000000" w:rsidRPr="00000000" w14:paraId="000000EA">
      <w:pPr>
        <w:pStyle w:val="Heading2"/>
        <w:numPr>
          <w:ilvl w:val="1"/>
          <w:numId w:val="11"/>
        </w:numPr>
        <w:ind w:left="576" w:hanging="576"/>
        <w:rPr/>
      </w:pPr>
      <w:bookmarkStart w:colFirst="0" w:colLast="0" w:name="_heading=h.1ci93xb" w:id="23"/>
      <w:bookmarkEnd w:id="23"/>
      <w:r w:rsidDel="00000000" w:rsidR="00000000" w:rsidRPr="00000000">
        <w:rPr>
          <w:rtl w:val="0"/>
        </w:rPr>
        <w:t xml:space="preserve">Of the Component Provider</w:t>
      </w:r>
    </w:p>
    <w:p w:rsidR="00000000" w:rsidDel="00000000" w:rsidP="00000000" w:rsidRDefault="00000000" w:rsidRPr="00000000" w14:paraId="000000EB">
      <w:pPr>
        <w:rPr/>
      </w:pPr>
      <w:bookmarkStart w:colFirst="0" w:colLast="0" w:name="_heading=h.3whwml4" w:id="24"/>
      <w:bookmarkEnd w:id="24"/>
      <w:r w:rsidDel="00000000" w:rsidR="00000000" w:rsidRPr="00000000">
        <w:rPr>
          <w:rtl w:val="0"/>
        </w:rPr>
        <w:t xml:space="preserve">As defined in Resource Center OLA.</w:t>
      </w:r>
    </w:p>
    <w:p w:rsidR="00000000" w:rsidDel="00000000" w:rsidP="00000000" w:rsidRDefault="00000000" w:rsidRPr="00000000" w14:paraId="000000EC">
      <w:pPr>
        <w:numPr>
          <w:ilvl w:val="0"/>
          <w:numId w:val="7"/>
        </w:numPr>
        <w:ind w:left="720" w:hanging="360"/>
        <w:rPr>
          <w:u w:val="none"/>
        </w:rPr>
      </w:pPr>
      <w:bookmarkStart w:colFirst="0" w:colLast="0" w:name="_heading=h.2bn6wsx" w:id="25"/>
      <w:bookmarkEnd w:id="25"/>
      <w:r w:rsidDel="00000000" w:rsidR="00000000" w:rsidRPr="00000000">
        <w:rPr>
          <w:rtl w:val="0"/>
        </w:rPr>
        <w:t xml:space="preserve">The component provider shall not terminate the virtual machines without agreement with EGI Foundation.</w:t>
      </w:r>
      <w:r w:rsidDel="00000000" w:rsidR="00000000" w:rsidRPr="00000000">
        <w:rPr>
          <w:rtl w:val="0"/>
        </w:rPr>
      </w:r>
    </w:p>
    <w:p w:rsidR="00000000" w:rsidDel="00000000" w:rsidP="00000000" w:rsidRDefault="00000000" w:rsidRPr="00000000" w14:paraId="000000ED">
      <w:pPr>
        <w:pStyle w:val="Heading2"/>
        <w:numPr>
          <w:ilvl w:val="1"/>
          <w:numId w:val="11"/>
        </w:numPr>
        <w:ind w:left="576" w:hanging="576"/>
        <w:rPr/>
      </w:pPr>
      <w:bookmarkStart w:colFirst="0" w:colLast="0" w:name="_heading=h.qsh70q" w:id="26"/>
      <w:bookmarkEnd w:id="26"/>
      <w:r w:rsidDel="00000000" w:rsidR="00000000" w:rsidRPr="00000000">
        <w:rPr>
          <w:rtl w:val="0"/>
        </w:rPr>
        <w:t xml:space="preserve">Of EGI Foundation</w:t>
      </w:r>
    </w:p>
    <w:p w:rsidR="00000000" w:rsidDel="00000000" w:rsidP="00000000" w:rsidRDefault="00000000" w:rsidRPr="00000000" w14:paraId="000000EE">
      <w:pPr>
        <w:rPr/>
      </w:pPr>
      <w:r w:rsidDel="00000000" w:rsidR="00000000" w:rsidRPr="00000000">
        <w:rPr>
          <w:rtl w:val="0"/>
        </w:rPr>
        <w:t xml:space="preserve">As defined in Resource Center OLA and:</w:t>
      </w:r>
    </w:p>
    <w:p w:rsidR="00000000" w:rsidDel="00000000" w:rsidP="00000000" w:rsidRDefault="00000000" w:rsidRPr="00000000" w14:paraId="000000EF">
      <w:pPr>
        <w:numPr>
          <w:ilvl w:val="0"/>
          <w:numId w:val="2"/>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with other Component Providers;</w:t>
      </w:r>
      <w:r w:rsidDel="00000000" w:rsidR="00000000" w:rsidRPr="00000000">
        <w:rPr>
          <w:rtl w:val="0"/>
        </w:rPr>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Support coordination and conflict resolution with the User;</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ind w:left="1080" w:hanging="720"/>
        <w:rPr>
          <w:u w:val="none"/>
        </w:rPr>
      </w:pPr>
      <w:r w:rsidDel="00000000" w:rsidR="00000000" w:rsidRPr="00000000">
        <w:rPr>
          <w:rtl w:val="0"/>
        </w:rPr>
        <w:t xml:space="preserve">Support the customer with data movement in case of OLA termination. </w:t>
      </w:r>
      <w:r w:rsidDel="00000000" w:rsidR="00000000" w:rsidRPr="00000000">
        <w:rPr>
          <w:rtl w:val="0"/>
        </w:rPr>
      </w:r>
    </w:p>
    <w:p w:rsidR="00000000" w:rsidDel="00000000" w:rsidP="00000000" w:rsidRDefault="00000000" w:rsidRPr="00000000" w14:paraId="000000F2">
      <w:pPr>
        <w:pStyle w:val="Heading2"/>
        <w:numPr>
          <w:ilvl w:val="1"/>
          <w:numId w:val="11"/>
        </w:numPr>
        <w:ind w:left="576" w:hanging="576"/>
        <w:rPr/>
      </w:pPr>
      <w:bookmarkStart w:colFirst="0" w:colLast="0" w:name="_heading=h.3as4poj" w:id="27"/>
      <w:bookmarkEnd w:id="27"/>
      <w:r w:rsidDel="00000000" w:rsidR="00000000" w:rsidRPr="00000000">
        <w:rPr>
          <w:rtl w:val="0"/>
        </w:rPr>
        <w:t xml:space="preserve">Of the Customer</w:t>
      </w:r>
    </w:p>
    <w:p w:rsidR="00000000" w:rsidDel="00000000" w:rsidP="00000000" w:rsidRDefault="00000000" w:rsidRPr="00000000" w14:paraId="000000F3">
      <w:pPr>
        <w:numPr>
          <w:ilvl w:val="0"/>
          <w:numId w:val="13"/>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All responsibilities of the User are listed in relevant VO SLA.</w:t>
      </w:r>
      <w:r w:rsidDel="00000000" w:rsidR="00000000" w:rsidRPr="00000000">
        <w:rPr>
          <w:rtl w:val="0"/>
        </w:rPr>
      </w:r>
    </w:p>
    <w:p w:rsidR="00000000" w:rsidDel="00000000" w:rsidP="00000000" w:rsidRDefault="00000000" w:rsidRPr="00000000" w14:paraId="000000F4">
      <w:pPr>
        <w:pStyle w:val="Heading1"/>
        <w:numPr>
          <w:ilvl w:val="0"/>
          <w:numId w:val="11"/>
        </w:numPr>
        <w:ind w:left="432" w:hanging="432"/>
        <w:rPr/>
      </w:pPr>
      <w:bookmarkStart w:colFirst="0" w:colLast="0" w:name="_heading=h.1pxezwc" w:id="28"/>
      <w:bookmarkEnd w:id="28"/>
      <w:r w:rsidDel="00000000" w:rsidR="00000000" w:rsidRPr="00000000">
        <w:rPr>
          <w:rtl w:val="0"/>
        </w:rPr>
        <w:t xml:space="preserve">Review, extensions and termination</w:t>
      </w:r>
    </w:p>
    <w:p w:rsidR="00000000" w:rsidDel="00000000" w:rsidP="00000000" w:rsidRDefault="00000000" w:rsidRPr="00000000" w14:paraId="000000F5">
      <w:pPr>
        <w:rPr/>
      </w:pPr>
      <w:r w:rsidDel="00000000" w:rsidR="00000000" w:rsidRPr="00000000">
        <w:rPr>
          <w:rtl w:val="0"/>
        </w:rPr>
        <w:t xml:space="preserve">As defined in Resource Center OLA.</w:t>
      </w:r>
    </w:p>
    <w:p w:rsidR="00000000" w:rsidDel="00000000" w:rsidP="00000000" w:rsidRDefault="00000000" w:rsidRPr="00000000" w14:paraId="000000F6">
      <w:pPr>
        <w:rPr/>
      </w:pPr>
      <w:r w:rsidDel="00000000" w:rsidR="00000000" w:rsidRPr="00000000">
        <w:rPr>
          <w:rtl w:val="0"/>
        </w:rPr>
      </w:r>
    </w:p>
    <w:sectPr>
      <w:footerReference r:id="rId17" w:type="default"/>
      <w:footerReference r:id="rId18"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4"/>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7"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6"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01">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5"/>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8"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CDMI, POSIX, SWIFT, etc.</w:t>
      </w:r>
    </w:p>
  </w:footnote>
  <w:footnote w:id="2">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DPM, dCache, STORM,  etc.</w:t>
      </w:r>
    </w:p>
  </w:footnote>
  <w:footnote w:id="3">
    <w:p w:rsidR="00000000" w:rsidDel="00000000" w:rsidP="00000000" w:rsidRDefault="00000000" w:rsidRPr="00000000" w14:paraId="000000F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0FB">
      <w:pPr>
        <w:widowControl w:val="0"/>
        <w:spacing w:after="0" w:line="276" w:lineRule="auto"/>
        <w:jc w:val="left"/>
        <w:rPr>
          <w:sz w:val="20"/>
          <w:szCs w:val="20"/>
        </w:rPr>
      </w:pPr>
      <w:r w:rsidDel="00000000" w:rsidR="00000000" w:rsidRPr="00000000">
        <w:fldChar w:fldCharType="end"/>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gi.eu/services/cloud-container/" TargetMode="External"/><Relationship Id="rId10" Type="http://schemas.openxmlformats.org/officeDocument/2006/relationships/hyperlink" Target="https://www.egi.eu/services/cloud-compute/" TargetMode="External"/><Relationship Id="rId13" Type="http://schemas.openxmlformats.org/officeDocument/2006/relationships/hyperlink" Target="https://www.egi.eu/services/online-storage/" TargetMode="External"/><Relationship Id="rId12" Type="http://schemas.openxmlformats.org/officeDocument/2006/relationships/hyperlink" Target="https://www.egi.eu/services/high-throughput-compu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iki.egi.eu/wiki/Glossary%20" TargetMode="External"/><Relationship Id="rId15" Type="http://schemas.openxmlformats.org/officeDocument/2006/relationships/hyperlink" Target="mailto:sla@mailman.egi.eu" TargetMode="External"/><Relationship Id="rId14" Type="http://schemas.openxmlformats.org/officeDocument/2006/relationships/hyperlink" Target="https://www.egi.eu/services/notebooks/" TargetMode="External"/><Relationship Id="rId17" Type="http://schemas.openxmlformats.org/officeDocument/2006/relationships/footer" Target="footer2.xml"/><Relationship Id="rId16" Type="http://schemas.openxmlformats.org/officeDocument/2006/relationships/hyperlink" Target="mailto:operations@egi.eu"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7VvJeUVPTysBtG6y+m3dog6SHw==">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