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35C4522C" w:rsidR="006D1955" w:rsidRPr="004707AB" w:rsidRDefault="005B7E47" w:rsidP="00C062E3">
            <w:pPr>
              <w:snapToGrid w:val="0"/>
              <w:spacing w:before="120"/>
              <w:jc w:val="left"/>
              <w:rPr>
                <w:rFonts w:asciiTheme="minorHAnsi" w:hAnsiTheme="minorHAnsi" w:cs="Open Sans"/>
                <w:sz w:val="20"/>
              </w:rPr>
            </w:pPr>
            <w:r>
              <w:rPr>
                <w:rFonts w:asciiTheme="minorHAnsi" w:hAnsiTheme="minorHAnsi"/>
                <w:sz w:val="20"/>
              </w:rPr>
              <w:t>Terradue – NextGEOSS Pilots / vo.nextgeoss.eu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3D0A894D" w:rsidR="006D1955" w:rsidRPr="004707AB" w:rsidRDefault="00FC2F1A" w:rsidP="0053196A">
            <w:pPr>
              <w:pStyle w:val="DocDate"/>
              <w:snapToGrid w:val="0"/>
              <w:jc w:val="left"/>
              <w:rPr>
                <w:rFonts w:asciiTheme="minorHAnsi" w:hAnsiTheme="minorHAnsi" w:cs="Open Sans"/>
                <w:b w:val="0"/>
                <w:sz w:val="20"/>
              </w:rPr>
            </w:pPr>
            <w:r>
              <w:rPr>
                <w:rFonts w:asciiTheme="minorHAnsi" w:hAnsiTheme="minorHAnsi" w:cs="Open Sans"/>
                <w:b w:val="0"/>
                <w:sz w:val="20"/>
              </w:rPr>
              <w:t xml:space="preserve">28 </w:t>
            </w:r>
            <w:r w:rsidR="005B7E47">
              <w:rPr>
                <w:rFonts w:asciiTheme="minorHAnsi" w:hAnsiTheme="minorHAnsi" w:cs="Open Sans"/>
                <w:b w:val="0"/>
                <w:sz w:val="20"/>
              </w:rPr>
              <w:t>August 2017</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152EA221" w:rsidR="006D1955" w:rsidRPr="004707AB" w:rsidRDefault="00FC2F1A" w:rsidP="0053196A">
            <w:pPr>
              <w:pStyle w:val="DocDate"/>
              <w:snapToGrid w:val="0"/>
              <w:jc w:val="left"/>
              <w:rPr>
                <w:rFonts w:asciiTheme="minorHAnsi" w:hAnsiTheme="minorHAnsi" w:cs="Open Sans"/>
                <w:sz w:val="20"/>
              </w:rPr>
            </w:pPr>
            <w:r>
              <w:rPr>
                <w:rFonts w:asciiTheme="minorHAnsi" w:hAnsiTheme="minorHAnsi" w:cs="Open Sans"/>
                <w:b w:val="0"/>
                <w:sz w:val="20"/>
              </w:rPr>
              <w:t xml:space="preserve">31 </w:t>
            </w:r>
            <w:r w:rsidR="005B7E47">
              <w:rPr>
                <w:rFonts w:asciiTheme="minorHAnsi" w:hAnsiTheme="minorHAnsi" w:cs="Open Sans"/>
                <w:b w:val="0"/>
                <w:sz w:val="20"/>
              </w:rPr>
              <w:t>May 2020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6B45E1F0" w:rsidR="006D1955" w:rsidRPr="004707AB" w:rsidRDefault="005A3B97" w:rsidP="0053196A">
            <w:pPr>
              <w:pStyle w:val="DocDate"/>
              <w:snapToGrid w:val="0"/>
              <w:jc w:val="left"/>
              <w:rPr>
                <w:rFonts w:asciiTheme="minorHAnsi" w:hAnsiTheme="minorHAnsi" w:cs="Open Sans"/>
                <w:b w:val="0"/>
                <w:sz w:val="20"/>
              </w:rPr>
            </w:pPr>
            <w:r>
              <w:rPr>
                <w:color w:val="000000"/>
                <w:sz w:val="20"/>
                <w:szCs w:val="20"/>
              </w:rPr>
              <w:t>draft</w:t>
            </w:r>
            <w:bookmarkStart w:id="0" w:name="_GoBack"/>
            <w:bookmarkEnd w:id="0"/>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0D8AA5FB" w:rsidR="006D1955" w:rsidRPr="004707AB" w:rsidRDefault="00041C04" w:rsidP="00C062E3">
            <w:pPr>
              <w:pStyle w:val="DocDate"/>
              <w:snapToGrid w:val="0"/>
              <w:jc w:val="left"/>
              <w:rPr>
                <w:rFonts w:asciiTheme="minorHAnsi" w:hAnsiTheme="minorHAnsi" w:cs="Open Sans"/>
                <w:b w:val="0"/>
                <w:sz w:val="20"/>
                <w:highlight w:val="yellow"/>
              </w:rPr>
            </w:pPr>
            <w:r w:rsidRPr="00041C04">
              <w:rPr>
                <w:rFonts w:asciiTheme="minorHAnsi" w:hAnsiTheme="minorHAnsi" w:cs="Open Sans"/>
                <w:b w:val="0"/>
                <w:sz w:val="20"/>
              </w:rPr>
              <w:t>30 August 2019</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0A2C9940" w:rsidR="006D1955" w:rsidRPr="004707AB" w:rsidRDefault="00EE70C2" w:rsidP="00C062E3">
            <w:pPr>
              <w:pStyle w:val="DocDate"/>
              <w:snapToGrid w:val="0"/>
              <w:jc w:val="left"/>
              <w:rPr>
                <w:rFonts w:asciiTheme="minorHAnsi" w:hAnsiTheme="minorHAnsi" w:cs="Open Sans"/>
                <w:b w:val="0"/>
                <w:sz w:val="20"/>
                <w:highlight w:val="yellow"/>
              </w:rPr>
            </w:pPr>
            <w:hyperlink r:id="rId10" w:history="1">
              <w:r w:rsidR="005B7E47" w:rsidRPr="00276F71">
                <w:rPr>
                  <w:rStyle w:val="Hyperlink"/>
                  <w:rFonts w:asciiTheme="minorHAnsi" w:hAnsiTheme="minorHAnsi" w:cs="Open Sans"/>
                  <w:b w:val="0"/>
                  <w:sz w:val="20"/>
                </w:rPr>
                <w:t>https://documents.egi.eu/document/3426</w:t>
              </w:r>
            </w:hyperlink>
            <w:r w:rsidR="005B7E47">
              <w:rPr>
                <w:rFonts w:asciiTheme="minorHAnsi" w:hAnsiTheme="minorHAnsi" w:cs="Open Sans"/>
                <w:b w:val="0"/>
                <w:sz w:val="20"/>
              </w:rPr>
              <w:t xml:space="preserve"> </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2404A498" w:rsidR="006D1955" w:rsidRPr="004707AB" w:rsidRDefault="00EE70C2" w:rsidP="00C062E3">
            <w:pPr>
              <w:pStyle w:val="DocDate"/>
              <w:snapToGrid w:val="0"/>
              <w:jc w:val="left"/>
              <w:rPr>
                <w:rFonts w:asciiTheme="minorHAnsi" w:hAnsiTheme="minorHAnsi" w:cs="Open Sans"/>
                <w:sz w:val="20"/>
                <w:highlight w:val="yellow"/>
              </w:rPr>
            </w:pPr>
            <w:hyperlink r:id="rId11" w:history="1">
              <w:r w:rsidR="005B7E47" w:rsidRPr="00276F71">
                <w:rPr>
                  <w:rStyle w:val="Hyperlink"/>
                  <w:rFonts w:asciiTheme="minorHAnsi" w:hAnsiTheme="minorHAnsi" w:cs="Open Sans"/>
                  <w:b w:val="0"/>
                  <w:sz w:val="20"/>
                </w:rPr>
                <w:t>https://documents.egi.eu/document/3426</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1"/>
        <w:gridCol w:w="1388"/>
        <w:gridCol w:w="3608"/>
        <w:gridCol w:w="3209"/>
      </w:tblGrid>
      <w:tr w:rsidR="00EC504F" w:rsidRPr="002E5F1F" w14:paraId="6F3C9721" w14:textId="77777777" w:rsidTr="00FC2F1A">
        <w:tc>
          <w:tcPr>
            <w:tcW w:w="811"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38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3608"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320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635B6F" w:rsidRPr="00A0299E" w14:paraId="66013988" w14:textId="77777777" w:rsidTr="00FC2F1A">
        <w:tc>
          <w:tcPr>
            <w:tcW w:w="811" w:type="dxa"/>
            <w:shd w:val="clear" w:color="auto" w:fill="auto"/>
          </w:tcPr>
          <w:p w14:paraId="64793C12" w14:textId="6CE3CF9D" w:rsidR="00635B6F" w:rsidRDefault="00635B6F" w:rsidP="00635B6F">
            <w:pPr>
              <w:pStyle w:val="NoSpacing"/>
              <w:rPr>
                <w:b/>
              </w:rPr>
            </w:pPr>
            <w:r>
              <w:rPr>
                <w:b/>
              </w:rPr>
              <w:t>FINAL</w:t>
            </w:r>
          </w:p>
        </w:tc>
        <w:tc>
          <w:tcPr>
            <w:tcW w:w="1388" w:type="dxa"/>
            <w:shd w:val="clear" w:color="auto" w:fill="auto"/>
          </w:tcPr>
          <w:p w14:paraId="1A02747B" w14:textId="7AA09A51" w:rsidR="00635B6F" w:rsidRDefault="00635B6F" w:rsidP="00635B6F">
            <w:pPr>
              <w:pStyle w:val="NoSpacing"/>
            </w:pPr>
            <w:r>
              <w:t>28/11/2017</w:t>
            </w:r>
          </w:p>
        </w:tc>
        <w:tc>
          <w:tcPr>
            <w:tcW w:w="3608" w:type="dxa"/>
            <w:shd w:val="clear" w:color="auto" w:fill="auto"/>
          </w:tcPr>
          <w:p w14:paraId="6B3B4269" w14:textId="7E4CFEFF" w:rsidR="00635B6F" w:rsidRDefault="00635B6F" w:rsidP="00635B6F">
            <w:pPr>
              <w:pStyle w:val="NoSpacing"/>
            </w:pPr>
            <w:r>
              <w:t>Final version of the SLA</w:t>
            </w:r>
          </w:p>
        </w:tc>
        <w:tc>
          <w:tcPr>
            <w:tcW w:w="3209" w:type="dxa"/>
            <w:shd w:val="clear" w:color="auto" w:fill="auto"/>
          </w:tcPr>
          <w:p w14:paraId="6ADF7A4A" w14:textId="77777777" w:rsidR="00635B6F" w:rsidRPr="00BD0724" w:rsidRDefault="00635B6F" w:rsidP="00635B6F">
            <w:pPr>
              <w:pStyle w:val="NoSpacing"/>
              <w:rPr>
                <w:lang w:val="it-IT"/>
              </w:rPr>
            </w:pPr>
            <w:r w:rsidRPr="00BD0724">
              <w:rPr>
                <w:lang w:val="it-IT"/>
              </w:rPr>
              <w:t>Giuseppe La Rocca</w:t>
            </w:r>
          </w:p>
          <w:p w14:paraId="5B6FAB08" w14:textId="1A635A40" w:rsidR="00635B6F" w:rsidRDefault="00635B6F" w:rsidP="00635B6F">
            <w:pPr>
              <w:pStyle w:val="NoSpacing"/>
              <w:rPr>
                <w:lang w:val="it-IT"/>
              </w:rPr>
            </w:pPr>
            <w:r w:rsidRPr="00BD0724">
              <w:rPr>
                <w:lang w:val="it-IT"/>
              </w:rPr>
              <w:t>Małgorzata Krakowian</w:t>
            </w:r>
          </w:p>
        </w:tc>
      </w:tr>
      <w:tr w:rsidR="00635B6F" w:rsidRPr="00A0299E" w14:paraId="51BEF978" w14:textId="77777777" w:rsidTr="00FC2F1A">
        <w:tc>
          <w:tcPr>
            <w:tcW w:w="811" w:type="dxa"/>
            <w:shd w:val="clear" w:color="auto" w:fill="auto"/>
          </w:tcPr>
          <w:p w14:paraId="027EC6C0" w14:textId="09893B96" w:rsidR="00635B6F" w:rsidRPr="002E5F1F" w:rsidRDefault="00635B6F" w:rsidP="00635B6F">
            <w:pPr>
              <w:pStyle w:val="NoSpacing"/>
              <w:rPr>
                <w:b/>
              </w:rPr>
            </w:pPr>
            <w:r>
              <w:rPr>
                <w:b/>
              </w:rPr>
              <w:t>V1</w:t>
            </w:r>
          </w:p>
        </w:tc>
        <w:tc>
          <w:tcPr>
            <w:tcW w:w="1388" w:type="dxa"/>
            <w:shd w:val="clear" w:color="auto" w:fill="auto"/>
          </w:tcPr>
          <w:p w14:paraId="549B6DAB" w14:textId="31327684" w:rsidR="00635B6F" w:rsidRDefault="00635B6F" w:rsidP="00635B6F">
            <w:pPr>
              <w:pStyle w:val="NoSpacing"/>
            </w:pPr>
            <w:r>
              <w:t>3 Dec 2018</w:t>
            </w:r>
          </w:p>
        </w:tc>
        <w:tc>
          <w:tcPr>
            <w:tcW w:w="3608" w:type="dxa"/>
            <w:shd w:val="clear" w:color="auto" w:fill="auto"/>
          </w:tcPr>
          <w:p w14:paraId="69CB229F" w14:textId="13B73396" w:rsidR="00635B6F" w:rsidRDefault="00635B6F" w:rsidP="00635B6F">
            <w:pPr>
              <w:pStyle w:val="NoSpacing"/>
            </w:pPr>
            <w:r>
              <w:t>First revised draft</w:t>
            </w:r>
          </w:p>
        </w:tc>
        <w:tc>
          <w:tcPr>
            <w:tcW w:w="3209" w:type="dxa"/>
            <w:shd w:val="clear" w:color="auto" w:fill="auto"/>
          </w:tcPr>
          <w:p w14:paraId="30FC1504" w14:textId="587E50C4" w:rsidR="00635B6F" w:rsidRPr="00023458" w:rsidRDefault="00635B6F" w:rsidP="00635B6F">
            <w:pPr>
              <w:pStyle w:val="NoSpacing"/>
              <w:rPr>
                <w:lang w:val="it-IT"/>
              </w:rPr>
            </w:pPr>
            <w:r>
              <w:rPr>
                <w:lang w:val="it-IT"/>
              </w:rPr>
              <w:t>Björn Backeberg, EGI.eu</w:t>
            </w:r>
          </w:p>
        </w:tc>
      </w:tr>
      <w:tr w:rsidR="00635B6F" w:rsidRPr="00A0299E" w14:paraId="3FA8CFE3" w14:textId="77777777" w:rsidTr="00FC2F1A">
        <w:tc>
          <w:tcPr>
            <w:tcW w:w="811" w:type="dxa"/>
            <w:shd w:val="clear" w:color="auto" w:fill="auto"/>
          </w:tcPr>
          <w:p w14:paraId="6076E7D7" w14:textId="3CD1A8D9" w:rsidR="00635B6F" w:rsidRDefault="00635B6F" w:rsidP="00635B6F">
            <w:pPr>
              <w:pStyle w:val="NoSpacing"/>
              <w:rPr>
                <w:b/>
              </w:rPr>
            </w:pPr>
            <w:r>
              <w:rPr>
                <w:b/>
              </w:rPr>
              <w:t>V2</w:t>
            </w:r>
          </w:p>
        </w:tc>
        <w:tc>
          <w:tcPr>
            <w:tcW w:w="1388" w:type="dxa"/>
            <w:shd w:val="clear" w:color="auto" w:fill="auto"/>
          </w:tcPr>
          <w:p w14:paraId="4CA8FD22" w14:textId="3379EE6D" w:rsidR="00635B6F" w:rsidRDefault="00635B6F" w:rsidP="00635B6F">
            <w:pPr>
              <w:pStyle w:val="NoSpacing"/>
            </w:pPr>
            <w:r>
              <w:t>13 Feb 2019</w:t>
            </w:r>
          </w:p>
        </w:tc>
        <w:tc>
          <w:tcPr>
            <w:tcW w:w="3608" w:type="dxa"/>
            <w:shd w:val="clear" w:color="auto" w:fill="auto"/>
          </w:tcPr>
          <w:p w14:paraId="0A03D13B" w14:textId="0CE394CD" w:rsidR="00635B6F" w:rsidRDefault="00635B6F" w:rsidP="00635B6F">
            <w:pPr>
              <w:pStyle w:val="NoSpacing"/>
            </w:pPr>
            <w:r>
              <w:t>Reviewed by client</w:t>
            </w:r>
          </w:p>
        </w:tc>
        <w:tc>
          <w:tcPr>
            <w:tcW w:w="3209" w:type="dxa"/>
            <w:shd w:val="clear" w:color="auto" w:fill="auto"/>
          </w:tcPr>
          <w:p w14:paraId="4F7E69AC" w14:textId="3EC4EA7D" w:rsidR="00635B6F" w:rsidRDefault="00635B6F" w:rsidP="00635B6F">
            <w:pPr>
              <w:pStyle w:val="NoSpacing"/>
              <w:rPr>
                <w:lang w:val="it-IT"/>
              </w:rPr>
            </w:pPr>
            <w:r>
              <w:rPr>
                <w:lang w:val="it-IT"/>
              </w:rPr>
              <w:t>Hervé Caumont, Terradue</w:t>
            </w:r>
          </w:p>
        </w:tc>
      </w:tr>
      <w:tr w:rsidR="00635B6F" w:rsidRPr="00A0299E" w14:paraId="10632421" w14:textId="77777777" w:rsidTr="00FC2F1A">
        <w:tc>
          <w:tcPr>
            <w:tcW w:w="811" w:type="dxa"/>
            <w:shd w:val="clear" w:color="auto" w:fill="auto"/>
          </w:tcPr>
          <w:p w14:paraId="70CE75EF" w14:textId="7BEC4AD4" w:rsidR="00635B6F" w:rsidRDefault="00635B6F" w:rsidP="00635B6F">
            <w:pPr>
              <w:pStyle w:val="NoSpacing"/>
              <w:rPr>
                <w:b/>
              </w:rPr>
            </w:pPr>
            <w:r>
              <w:rPr>
                <w:b/>
              </w:rPr>
              <w:t>V3</w:t>
            </w:r>
          </w:p>
        </w:tc>
        <w:tc>
          <w:tcPr>
            <w:tcW w:w="1388" w:type="dxa"/>
            <w:shd w:val="clear" w:color="auto" w:fill="auto"/>
          </w:tcPr>
          <w:p w14:paraId="3B8F3EFF" w14:textId="0AB28D21" w:rsidR="00635B6F" w:rsidRDefault="00635B6F" w:rsidP="00635B6F">
            <w:pPr>
              <w:pStyle w:val="NoSpacing"/>
            </w:pPr>
            <w:r>
              <w:t>26 Feb 2019</w:t>
            </w:r>
          </w:p>
        </w:tc>
        <w:tc>
          <w:tcPr>
            <w:tcW w:w="3608" w:type="dxa"/>
            <w:shd w:val="clear" w:color="auto" w:fill="auto"/>
          </w:tcPr>
          <w:p w14:paraId="01708925" w14:textId="6A4B4084" w:rsidR="00635B6F" w:rsidRDefault="00635B6F" w:rsidP="00635B6F">
            <w:pPr>
              <w:pStyle w:val="NoSpacing"/>
            </w:pPr>
            <w:r>
              <w:t>SLA agreed with customer</w:t>
            </w:r>
          </w:p>
        </w:tc>
        <w:tc>
          <w:tcPr>
            <w:tcW w:w="3209" w:type="dxa"/>
            <w:shd w:val="clear" w:color="auto" w:fill="auto"/>
          </w:tcPr>
          <w:p w14:paraId="207CD8CC" w14:textId="77777777" w:rsidR="00635B6F" w:rsidRDefault="00635B6F" w:rsidP="00635B6F">
            <w:pPr>
              <w:pStyle w:val="NoSpacing"/>
              <w:rPr>
                <w:lang w:val="it-IT"/>
              </w:rPr>
            </w:pPr>
            <w:r>
              <w:rPr>
                <w:lang w:val="it-IT"/>
              </w:rPr>
              <w:t>Björn Backeberg, EGI.eu</w:t>
            </w:r>
          </w:p>
          <w:p w14:paraId="5549EF03" w14:textId="129C75C3" w:rsidR="00635B6F" w:rsidRDefault="00635B6F" w:rsidP="00635B6F">
            <w:pPr>
              <w:pStyle w:val="NoSpacing"/>
              <w:jc w:val="left"/>
              <w:rPr>
                <w:lang w:val="it-IT"/>
              </w:rPr>
            </w:pPr>
            <w:r w:rsidRPr="00FC2F1A">
              <w:rPr>
                <w:lang w:val="it-IT"/>
              </w:rPr>
              <w:t>Małgorzata</w:t>
            </w:r>
            <w:r>
              <w:rPr>
                <w:lang w:val="it-IT"/>
              </w:rPr>
              <w:t xml:space="preserve"> </w:t>
            </w:r>
            <w:r w:rsidRPr="00FC2F1A">
              <w:rPr>
                <w:lang w:val="it-IT"/>
              </w:rPr>
              <w:t>Krakowian, EGI.eu</w:t>
            </w:r>
          </w:p>
        </w:tc>
      </w:tr>
      <w:tr w:rsidR="00635B6F" w:rsidRPr="00A0299E" w14:paraId="0B33D858" w14:textId="77777777" w:rsidTr="00FC2F1A">
        <w:tc>
          <w:tcPr>
            <w:tcW w:w="811" w:type="dxa"/>
            <w:shd w:val="clear" w:color="auto" w:fill="auto"/>
          </w:tcPr>
          <w:p w14:paraId="7E5ABA62" w14:textId="0427C451" w:rsidR="00635B6F" w:rsidRDefault="00635B6F" w:rsidP="00635B6F">
            <w:pPr>
              <w:pStyle w:val="NoSpacing"/>
              <w:rPr>
                <w:b/>
              </w:rPr>
            </w:pPr>
            <w:r>
              <w:rPr>
                <w:b/>
              </w:rPr>
              <w:t>V4</w:t>
            </w:r>
          </w:p>
        </w:tc>
        <w:tc>
          <w:tcPr>
            <w:tcW w:w="1388" w:type="dxa"/>
            <w:shd w:val="clear" w:color="auto" w:fill="auto"/>
          </w:tcPr>
          <w:p w14:paraId="79AD4B64" w14:textId="1C04F0F8" w:rsidR="00635B6F" w:rsidRDefault="00635B6F" w:rsidP="00635B6F">
            <w:pPr>
              <w:pStyle w:val="NoSpacing"/>
            </w:pPr>
            <w:r>
              <w:t>22 Jul 2019</w:t>
            </w:r>
          </w:p>
        </w:tc>
        <w:tc>
          <w:tcPr>
            <w:tcW w:w="3608" w:type="dxa"/>
            <w:shd w:val="clear" w:color="auto" w:fill="auto"/>
          </w:tcPr>
          <w:p w14:paraId="08323D08" w14:textId="06289D5A" w:rsidR="00635B6F" w:rsidRDefault="00635B6F" w:rsidP="00635B6F">
            <w:pPr>
              <w:pStyle w:val="NoSpacing"/>
            </w:pPr>
            <w:r>
              <w:t>Revised to include all 10 pilots</w:t>
            </w:r>
          </w:p>
        </w:tc>
        <w:tc>
          <w:tcPr>
            <w:tcW w:w="3209" w:type="dxa"/>
            <w:shd w:val="clear" w:color="auto" w:fill="auto"/>
          </w:tcPr>
          <w:p w14:paraId="0A5C1F92" w14:textId="67871E3E" w:rsidR="00635B6F" w:rsidRDefault="00635B6F" w:rsidP="00635B6F">
            <w:pPr>
              <w:pStyle w:val="NoSpacing"/>
              <w:rPr>
                <w:lang w:val="it-IT"/>
              </w:rPr>
            </w:pPr>
            <w:r>
              <w:rPr>
                <w:lang w:val="it-IT"/>
              </w:rPr>
              <w:t>Björn Backeberg, EGI.eu</w:t>
            </w:r>
          </w:p>
        </w:tc>
      </w:tr>
      <w:tr w:rsidR="00635B6F" w:rsidRPr="00A0299E" w14:paraId="1CF0A39C" w14:textId="77777777" w:rsidTr="00FC2F1A">
        <w:tc>
          <w:tcPr>
            <w:tcW w:w="811" w:type="dxa"/>
            <w:shd w:val="clear" w:color="auto" w:fill="auto"/>
          </w:tcPr>
          <w:p w14:paraId="6B528532" w14:textId="56C16898" w:rsidR="00635B6F" w:rsidRDefault="00635B6F" w:rsidP="00635B6F">
            <w:pPr>
              <w:pStyle w:val="NoSpacing"/>
              <w:rPr>
                <w:b/>
              </w:rPr>
            </w:pPr>
            <w:r>
              <w:rPr>
                <w:b/>
              </w:rPr>
              <w:t>V5</w:t>
            </w:r>
          </w:p>
        </w:tc>
        <w:tc>
          <w:tcPr>
            <w:tcW w:w="1388" w:type="dxa"/>
            <w:shd w:val="clear" w:color="auto" w:fill="auto"/>
          </w:tcPr>
          <w:p w14:paraId="57CCAE9F" w14:textId="020F682E" w:rsidR="00635B6F" w:rsidRDefault="00635B6F" w:rsidP="00635B6F">
            <w:pPr>
              <w:pStyle w:val="NoSpacing"/>
            </w:pPr>
            <w:r>
              <w:t>30 Aug 2019</w:t>
            </w:r>
          </w:p>
        </w:tc>
        <w:tc>
          <w:tcPr>
            <w:tcW w:w="3608" w:type="dxa"/>
            <w:shd w:val="clear" w:color="auto" w:fill="auto"/>
          </w:tcPr>
          <w:p w14:paraId="6253F37C" w14:textId="055ADA56" w:rsidR="00635B6F" w:rsidRDefault="00635B6F" w:rsidP="00635B6F">
            <w:pPr>
              <w:pStyle w:val="NoSpacing"/>
            </w:pPr>
            <w:r>
              <w:t>SLA agreed with customer, following customer input</w:t>
            </w:r>
          </w:p>
        </w:tc>
        <w:tc>
          <w:tcPr>
            <w:tcW w:w="3209" w:type="dxa"/>
            <w:shd w:val="clear" w:color="auto" w:fill="auto"/>
          </w:tcPr>
          <w:p w14:paraId="2BCB7A5B" w14:textId="77777777" w:rsidR="00635B6F" w:rsidRDefault="00635B6F" w:rsidP="00635B6F">
            <w:pPr>
              <w:pStyle w:val="NoSpacing"/>
              <w:rPr>
                <w:lang w:val="it-IT"/>
              </w:rPr>
            </w:pPr>
            <w:r>
              <w:rPr>
                <w:lang w:val="it-IT"/>
              </w:rPr>
              <w:t>Hervé Caumont, Terradue</w:t>
            </w:r>
          </w:p>
          <w:p w14:paraId="49B0C133" w14:textId="3B6CD5B9" w:rsidR="00635B6F" w:rsidRDefault="00635B6F" w:rsidP="00635B6F">
            <w:pPr>
              <w:pStyle w:val="NoSpacing"/>
              <w:rPr>
                <w:lang w:val="it-IT"/>
              </w:rPr>
            </w:pPr>
            <w:r>
              <w:rPr>
                <w:lang w:val="it-IT"/>
              </w:rPr>
              <w:t>Björn Backeberg, EGI.eu</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50F86932"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690862">
              <w:rPr>
                <w:noProof/>
                <w:webHidden/>
              </w:rPr>
              <w:t>4</w:t>
            </w:r>
            <w:r w:rsidR="00AC3A64">
              <w:rPr>
                <w:noProof/>
                <w:webHidden/>
              </w:rPr>
              <w:fldChar w:fldCharType="end"/>
            </w:r>
          </w:hyperlink>
        </w:p>
        <w:p w14:paraId="62F4512B" w14:textId="3AAC36AC"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690862">
              <w:rPr>
                <w:noProof/>
                <w:webHidden/>
              </w:rPr>
              <w:t>7</w:t>
            </w:r>
            <w:r w:rsidR="00AC3A64">
              <w:rPr>
                <w:noProof/>
                <w:webHidden/>
              </w:rPr>
              <w:fldChar w:fldCharType="end"/>
            </w:r>
          </w:hyperlink>
        </w:p>
        <w:p w14:paraId="51DACFB0" w14:textId="14895111"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690862">
              <w:rPr>
                <w:noProof/>
                <w:webHidden/>
              </w:rPr>
              <w:t>8</w:t>
            </w:r>
            <w:r w:rsidR="00AC3A64">
              <w:rPr>
                <w:noProof/>
                <w:webHidden/>
              </w:rPr>
              <w:fldChar w:fldCharType="end"/>
            </w:r>
          </w:hyperlink>
        </w:p>
        <w:p w14:paraId="525E7072" w14:textId="4EE46830"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690862">
              <w:rPr>
                <w:noProof/>
                <w:webHidden/>
              </w:rPr>
              <w:t>8</w:t>
            </w:r>
            <w:r w:rsidR="00AC3A64">
              <w:rPr>
                <w:noProof/>
                <w:webHidden/>
              </w:rPr>
              <w:fldChar w:fldCharType="end"/>
            </w:r>
          </w:hyperlink>
        </w:p>
        <w:p w14:paraId="0C0CB9A2" w14:textId="778BAAF1"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690862">
              <w:rPr>
                <w:noProof/>
                <w:webHidden/>
              </w:rPr>
              <w:t>9</w:t>
            </w:r>
            <w:r w:rsidR="00AC3A64">
              <w:rPr>
                <w:noProof/>
                <w:webHidden/>
              </w:rPr>
              <w:fldChar w:fldCharType="end"/>
            </w:r>
          </w:hyperlink>
        </w:p>
        <w:p w14:paraId="5F3A24C3" w14:textId="1CF154DD"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690862">
              <w:rPr>
                <w:noProof/>
                <w:webHidden/>
              </w:rPr>
              <w:t>9</w:t>
            </w:r>
            <w:r w:rsidR="00AC3A64">
              <w:rPr>
                <w:noProof/>
                <w:webHidden/>
              </w:rPr>
              <w:fldChar w:fldCharType="end"/>
            </w:r>
          </w:hyperlink>
        </w:p>
        <w:p w14:paraId="54A12D6C" w14:textId="0E36CC15"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690862">
              <w:rPr>
                <w:noProof/>
                <w:webHidden/>
              </w:rPr>
              <w:t>10</w:t>
            </w:r>
            <w:r w:rsidR="00AC3A64">
              <w:rPr>
                <w:noProof/>
                <w:webHidden/>
              </w:rPr>
              <w:fldChar w:fldCharType="end"/>
            </w:r>
          </w:hyperlink>
        </w:p>
        <w:p w14:paraId="4658673E" w14:textId="3FC92261"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690862">
              <w:rPr>
                <w:noProof/>
                <w:webHidden/>
              </w:rPr>
              <w:t>10</w:t>
            </w:r>
            <w:r w:rsidR="00AC3A64">
              <w:rPr>
                <w:noProof/>
                <w:webHidden/>
              </w:rPr>
              <w:fldChar w:fldCharType="end"/>
            </w:r>
          </w:hyperlink>
        </w:p>
        <w:p w14:paraId="487D9BA7" w14:textId="54CB1E03"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690862">
              <w:rPr>
                <w:noProof/>
                <w:webHidden/>
              </w:rPr>
              <w:t>10</w:t>
            </w:r>
            <w:r w:rsidR="00AC3A64">
              <w:rPr>
                <w:noProof/>
                <w:webHidden/>
              </w:rPr>
              <w:fldChar w:fldCharType="end"/>
            </w:r>
          </w:hyperlink>
        </w:p>
        <w:p w14:paraId="15C91F40" w14:textId="1B030ECA"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690862">
              <w:rPr>
                <w:noProof/>
                <w:webHidden/>
              </w:rPr>
              <w:t>11</w:t>
            </w:r>
            <w:r w:rsidR="00AC3A64">
              <w:rPr>
                <w:noProof/>
                <w:webHidden/>
              </w:rPr>
              <w:fldChar w:fldCharType="end"/>
            </w:r>
          </w:hyperlink>
        </w:p>
        <w:p w14:paraId="5FC09BF6" w14:textId="622939B7"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690862">
              <w:rPr>
                <w:noProof/>
                <w:webHidden/>
              </w:rPr>
              <w:t>11</w:t>
            </w:r>
            <w:r w:rsidR="00AC3A64">
              <w:rPr>
                <w:noProof/>
                <w:webHidden/>
              </w:rPr>
              <w:fldChar w:fldCharType="end"/>
            </w:r>
          </w:hyperlink>
        </w:p>
        <w:p w14:paraId="7B2C11AB" w14:textId="30B403C5"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690862">
              <w:rPr>
                <w:noProof/>
                <w:webHidden/>
              </w:rPr>
              <w:t>12</w:t>
            </w:r>
            <w:r w:rsidR="00AC3A64">
              <w:rPr>
                <w:noProof/>
                <w:webHidden/>
              </w:rPr>
              <w:fldChar w:fldCharType="end"/>
            </w:r>
          </w:hyperlink>
        </w:p>
        <w:p w14:paraId="64AEBD23" w14:textId="5F3E40E0"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690862">
              <w:rPr>
                <w:noProof/>
                <w:webHidden/>
              </w:rPr>
              <w:t>12</w:t>
            </w:r>
            <w:r w:rsidR="00AC3A64">
              <w:rPr>
                <w:noProof/>
                <w:webHidden/>
              </w:rPr>
              <w:fldChar w:fldCharType="end"/>
            </w:r>
          </w:hyperlink>
        </w:p>
        <w:p w14:paraId="1E9AD6D6" w14:textId="41513ED0"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690862">
              <w:rPr>
                <w:noProof/>
                <w:webHidden/>
              </w:rPr>
              <w:t>12</w:t>
            </w:r>
            <w:r w:rsidR="00AC3A64">
              <w:rPr>
                <w:noProof/>
                <w:webHidden/>
              </w:rPr>
              <w:fldChar w:fldCharType="end"/>
            </w:r>
          </w:hyperlink>
        </w:p>
        <w:p w14:paraId="35309188" w14:textId="3EB921E2"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690862">
              <w:rPr>
                <w:noProof/>
                <w:webHidden/>
              </w:rPr>
              <w:t>12</w:t>
            </w:r>
            <w:r w:rsidR="00AC3A64">
              <w:rPr>
                <w:noProof/>
                <w:webHidden/>
              </w:rPr>
              <w:fldChar w:fldCharType="end"/>
            </w:r>
          </w:hyperlink>
        </w:p>
        <w:p w14:paraId="234BD451" w14:textId="610EA4BE" w:rsidR="00AC3A64" w:rsidRDefault="00EE70C2">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690862">
              <w:rPr>
                <w:noProof/>
                <w:webHidden/>
              </w:rPr>
              <w:t>13</w:t>
            </w:r>
            <w:r w:rsidR="00AC3A64">
              <w:rPr>
                <w:noProof/>
                <w:webHidden/>
              </w:rPr>
              <w:fldChar w:fldCharType="end"/>
            </w:r>
          </w:hyperlink>
        </w:p>
        <w:p w14:paraId="2F1CECF6" w14:textId="2C921E89" w:rsidR="00AC3A64" w:rsidRDefault="00EE70C2">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690862">
              <w:rPr>
                <w:noProof/>
                <w:webHidden/>
              </w:rPr>
              <w:t>14</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066796AD"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 </w:t>
      </w:r>
      <w:r w:rsidR="00FC2F1A" w:rsidRPr="000C3CEA">
        <w:rPr>
          <w:b/>
        </w:rPr>
        <w:t>Terradue – NextGEOSS Pilots</w:t>
      </w:r>
      <w:r w:rsidRPr="000C3CEA">
        <w:t xml:space="preserve"> </w:t>
      </w:r>
      <w:r w:rsidR="000C0E87" w:rsidRPr="000C3CEA">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459F8ED5" w:rsidR="000C0E87" w:rsidRPr="004A5A07" w:rsidRDefault="00FC2F1A" w:rsidP="00CE1F5A">
      <w:pPr>
        <w:rPr>
          <w:b/>
        </w:rPr>
      </w:pPr>
      <w:r w:rsidRPr="00FC2F1A">
        <w:rPr>
          <w:b/>
        </w:rPr>
        <w:t xml:space="preserve">GEOSS (Global Earth Observation System of Systems) is a </w:t>
      </w:r>
      <w:r w:rsidR="001306F1">
        <w:rPr>
          <w:b/>
        </w:rPr>
        <w:t>coordinated effort</w:t>
      </w:r>
      <w:r w:rsidR="001306F1" w:rsidRPr="00FC2F1A">
        <w:rPr>
          <w:b/>
        </w:rPr>
        <w:t xml:space="preserve"> </w:t>
      </w:r>
      <w:r w:rsidRPr="00FC2F1A">
        <w:rPr>
          <w:b/>
        </w:rPr>
        <w:t>of GEO’s mission</w:t>
      </w:r>
      <w:r w:rsidR="001306F1">
        <w:rPr>
          <w:b/>
        </w:rPr>
        <w:t xml:space="preserve"> to improve EO data management and exploitation systems’ interoperability (at technical, semantic, organisational levels)</w:t>
      </w:r>
      <w:r w:rsidRPr="00FC2F1A">
        <w:rPr>
          <w:b/>
        </w:rPr>
        <w:t xml:space="preserve">. The NextGEOSS project, a European contribution to GEOSS, proposes to develop the next generation </w:t>
      </w:r>
      <w:r w:rsidR="001306F1">
        <w:rPr>
          <w:b/>
        </w:rPr>
        <w:t>data</w:t>
      </w:r>
      <w:r w:rsidR="001306F1" w:rsidRPr="00FC2F1A">
        <w:rPr>
          <w:b/>
        </w:rPr>
        <w:t xml:space="preserve"> </w:t>
      </w:r>
      <w:r w:rsidRPr="00FC2F1A">
        <w:rPr>
          <w:b/>
        </w:rPr>
        <w:t xml:space="preserve">hub </w:t>
      </w:r>
      <w:r w:rsidR="001306F1">
        <w:rPr>
          <w:b/>
        </w:rPr>
        <w:t xml:space="preserve">and platform </w:t>
      </w:r>
      <w:r w:rsidRPr="00FC2F1A">
        <w:rPr>
          <w:b/>
        </w:rPr>
        <w:t>for Earth Observation</w:t>
      </w:r>
      <w:r w:rsidR="001306F1">
        <w:rPr>
          <w:b/>
        </w:rPr>
        <w:t>s</w:t>
      </w:r>
      <w:r w:rsidRPr="00FC2F1A">
        <w:rPr>
          <w:b/>
        </w:rPr>
        <w:t xml:space="preserve">, where the users can connect to access data and </w:t>
      </w:r>
      <w:r w:rsidR="001306F1">
        <w:rPr>
          <w:b/>
        </w:rPr>
        <w:t xml:space="preserve">to </w:t>
      </w:r>
      <w:r w:rsidRPr="00FC2F1A">
        <w:rPr>
          <w:b/>
        </w:rPr>
        <w:t xml:space="preserve">deploy EO-based applications. The concept revolves around </w:t>
      </w:r>
      <w:r w:rsidRPr="004A5A07">
        <w:rPr>
          <w:b/>
        </w:rPr>
        <w:t xml:space="preserve">providing the data and resources to the user communities, </w:t>
      </w:r>
      <w:r w:rsidR="001306F1" w:rsidRPr="004A5A07">
        <w:rPr>
          <w:b/>
        </w:rPr>
        <w:t xml:space="preserve">including </w:t>
      </w:r>
      <w:r w:rsidRPr="004A5A07">
        <w:rPr>
          <w:b/>
        </w:rPr>
        <w:t>Cloud</w:t>
      </w:r>
      <w:r w:rsidR="001306F1" w:rsidRPr="004A5A07">
        <w:rPr>
          <w:b/>
        </w:rPr>
        <w:t xml:space="preserve"> Computing </w:t>
      </w:r>
      <w:r w:rsidRPr="004A5A07">
        <w:rPr>
          <w:b/>
        </w:rPr>
        <w:t xml:space="preserve">resources, connected to provide an integrated </w:t>
      </w:r>
      <w:r w:rsidR="001306F1" w:rsidRPr="004A5A07">
        <w:rPr>
          <w:b/>
        </w:rPr>
        <w:t xml:space="preserve">work environment </w:t>
      </w:r>
      <w:r w:rsidRPr="004A5A07">
        <w:rPr>
          <w:b/>
        </w:rPr>
        <w:t>for application</w:t>
      </w:r>
      <w:r w:rsidR="001306F1" w:rsidRPr="004A5A07">
        <w:rPr>
          <w:b/>
        </w:rPr>
        <w:t xml:space="preserve"> bui</w:t>
      </w:r>
      <w:r w:rsidR="00D85DB1" w:rsidRPr="004A5A07">
        <w:rPr>
          <w:b/>
        </w:rPr>
        <w:t>l</w:t>
      </w:r>
      <w:r w:rsidR="001306F1" w:rsidRPr="004A5A07">
        <w:rPr>
          <w:b/>
        </w:rPr>
        <w:t>ders</w:t>
      </w:r>
      <w:r w:rsidRPr="004A5A07">
        <w:rPr>
          <w:b/>
        </w:rPr>
        <w:t>. A</w:t>
      </w:r>
      <w:r w:rsidR="001306F1" w:rsidRPr="004A5A07">
        <w:rPr>
          <w:b/>
        </w:rPr>
        <w:t xml:space="preserve">n essential asset </w:t>
      </w:r>
      <w:r w:rsidRPr="004A5A07">
        <w:rPr>
          <w:b/>
        </w:rPr>
        <w:t>of NextGEOSS is the strong emphasis put on engaging the communities of providers and users and bridging the space in between.</w:t>
      </w:r>
    </w:p>
    <w:p w14:paraId="0E8A765E" w14:textId="49504373" w:rsidR="000C0E87" w:rsidRPr="004A5A07" w:rsidRDefault="000C0E87" w:rsidP="00CE1F5A">
      <w:r w:rsidRPr="004A5A07">
        <w:t xml:space="preserve">The Customer is a </w:t>
      </w:r>
      <w:r w:rsidR="001306F1" w:rsidRPr="004A5A07">
        <w:t xml:space="preserve">NextGEOSS </w:t>
      </w:r>
      <w:r w:rsidRPr="004A5A07">
        <w:t xml:space="preserve">consortium </w:t>
      </w:r>
      <w:r w:rsidR="001306F1" w:rsidRPr="004A5A07">
        <w:t>partner:</w:t>
      </w:r>
      <w:r w:rsidRPr="004A5A07">
        <w:t xml:space="preserve"> </w:t>
      </w:r>
      <w:r w:rsidR="00FC2F1A" w:rsidRPr="004A5A07">
        <w:rPr>
          <w:b/>
          <w:bCs/>
        </w:rPr>
        <w:t>Terradue</w:t>
      </w:r>
      <w:r w:rsidRPr="004A5A07">
        <w:t xml:space="preserve">. </w:t>
      </w:r>
    </w:p>
    <w:p w14:paraId="2899777E" w14:textId="429D33AD" w:rsidR="00FC2F1A" w:rsidRPr="004A5A07" w:rsidRDefault="00CE1F5A" w:rsidP="00FC2F1A">
      <w:r w:rsidRPr="004A5A07">
        <w:t xml:space="preserve">This Agreement is valid from </w:t>
      </w:r>
      <w:r w:rsidR="00FC2F1A" w:rsidRPr="004A5A07">
        <w:rPr>
          <w:b/>
        </w:rPr>
        <w:t>28 August 2017</w:t>
      </w:r>
      <w:r w:rsidRPr="004A5A07">
        <w:rPr>
          <w:b/>
        </w:rPr>
        <w:t xml:space="preserve"> </w:t>
      </w:r>
      <w:r w:rsidRPr="004A5A07">
        <w:t>to</w:t>
      </w:r>
      <w:r w:rsidRPr="004A5A07">
        <w:rPr>
          <w:b/>
        </w:rPr>
        <w:t xml:space="preserve"> </w:t>
      </w:r>
      <w:r w:rsidR="00FC2F1A" w:rsidRPr="004A5A07">
        <w:rPr>
          <w:b/>
        </w:rPr>
        <w:t>31 May 2020</w:t>
      </w:r>
      <w:r w:rsidR="00FC2F1A" w:rsidRPr="004A5A07">
        <w:t xml:space="preserve"> and defines the agreed upon resources provided for 10 NextGEOSS Pilots, namely:</w:t>
      </w:r>
    </w:p>
    <w:p w14:paraId="14C7232E" w14:textId="51E555BC" w:rsidR="00FC2F1A" w:rsidRPr="004A5A07" w:rsidRDefault="00FC2F1A" w:rsidP="00281724">
      <w:pPr>
        <w:pStyle w:val="ListParagraph"/>
        <w:numPr>
          <w:ilvl w:val="0"/>
          <w:numId w:val="15"/>
        </w:numPr>
      </w:pPr>
      <w:r w:rsidRPr="004A5A07">
        <w:t xml:space="preserve">VITO </w:t>
      </w:r>
      <w:r w:rsidR="001306F1" w:rsidRPr="004A5A07">
        <w:t>“</w:t>
      </w:r>
      <w:r w:rsidRPr="004A5A07">
        <w:t>Sentinel</w:t>
      </w:r>
      <w:r w:rsidR="001306F1" w:rsidRPr="004A5A07">
        <w:t>-</w:t>
      </w:r>
      <w:r w:rsidRPr="004A5A07">
        <w:t>2 Biopar</w:t>
      </w:r>
      <w:r w:rsidR="001306F1" w:rsidRPr="004A5A07">
        <w:t xml:space="preserve"> Crop Monitoring”</w:t>
      </w:r>
      <w:r w:rsidRPr="004A5A07">
        <w:t xml:space="preserve"> </w:t>
      </w:r>
      <w:r w:rsidR="001306F1" w:rsidRPr="004A5A07">
        <w:t>a</w:t>
      </w:r>
      <w:r w:rsidRPr="004A5A07">
        <w:t>pplication</w:t>
      </w:r>
      <w:r w:rsidRPr="004A5A07">
        <w:tab/>
      </w:r>
    </w:p>
    <w:p w14:paraId="5C34CA81" w14:textId="6E06C2ED" w:rsidR="00FC2F1A" w:rsidRPr="004A5A07" w:rsidRDefault="00FC2F1A" w:rsidP="00281724">
      <w:pPr>
        <w:pStyle w:val="ListParagraph"/>
        <w:numPr>
          <w:ilvl w:val="0"/>
          <w:numId w:val="15"/>
        </w:numPr>
      </w:pPr>
      <w:r w:rsidRPr="004A5A07">
        <w:t xml:space="preserve">ARMINES </w:t>
      </w:r>
      <w:r w:rsidR="001306F1" w:rsidRPr="004A5A07">
        <w:t xml:space="preserve">“Gridded data” and </w:t>
      </w:r>
      <w:r w:rsidRPr="004A5A07">
        <w:t>"</w:t>
      </w:r>
      <w:r w:rsidR="001306F1" w:rsidRPr="004A5A07">
        <w:t xml:space="preserve">Urban </w:t>
      </w:r>
      <w:r w:rsidRPr="004A5A07">
        <w:t>Solar Radiation Mapping"</w:t>
      </w:r>
      <w:r w:rsidR="001306F1" w:rsidRPr="004A5A07">
        <w:t xml:space="preserve"> applications</w:t>
      </w:r>
    </w:p>
    <w:p w14:paraId="32819157" w14:textId="61CE05C7" w:rsidR="00FC2F1A" w:rsidRPr="004A5A07" w:rsidRDefault="001306F1" w:rsidP="00281724">
      <w:pPr>
        <w:pStyle w:val="ListParagraph"/>
        <w:numPr>
          <w:ilvl w:val="0"/>
          <w:numId w:val="15"/>
        </w:numPr>
      </w:pPr>
      <w:r w:rsidRPr="004A5A07">
        <w:t xml:space="preserve">WNER (previously </w:t>
      </w:r>
      <w:r w:rsidR="00FC2F1A" w:rsidRPr="004A5A07">
        <w:t>WUR ALTERRA</w:t>
      </w:r>
      <w:r w:rsidRPr="004A5A07">
        <w:t>)</w:t>
      </w:r>
      <w:r w:rsidR="00FC2F1A" w:rsidRPr="004A5A07">
        <w:t xml:space="preserve"> "Maxent Habitat Monitoring"</w:t>
      </w:r>
      <w:r w:rsidRPr="004A5A07">
        <w:t xml:space="preserve"> application</w:t>
      </w:r>
    </w:p>
    <w:p w14:paraId="2E4777DE" w14:textId="6616E7CF" w:rsidR="00FC2F1A" w:rsidRPr="004A5A07" w:rsidRDefault="00FC2F1A" w:rsidP="00281724">
      <w:pPr>
        <w:pStyle w:val="ListParagraph"/>
        <w:numPr>
          <w:ilvl w:val="0"/>
          <w:numId w:val="15"/>
        </w:numPr>
      </w:pPr>
      <w:r w:rsidRPr="004A5A07">
        <w:t>SATCEN "</w:t>
      </w:r>
      <w:r w:rsidR="009E00A2" w:rsidRPr="004A5A07">
        <w:t xml:space="preserve">Change </w:t>
      </w:r>
      <w:r w:rsidRPr="004A5A07">
        <w:t>Detection"</w:t>
      </w:r>
      <w:r w:rsidR="001306F1" w:rsidRPr="004A5A07">
        <w:t xml:space="preserve"> application</w:t>
      </w:r>
    </w:p>
    <w:p w14:paraId="77606BB0" w14:textId="17C7DA3A" w:rsidR="00FC2F1A" w:rsidRPr="004A5A07" w:rsidRDefault="00FC2F1A" w:rsidP="00281724">
      <w:pPr>
        <w:pStyle w:val="ListParagraph"/>
        <w:numPr>
          <w:ilvl w:val="0"/>
          <w:numId w:val="15"/>
        </w:numPr>
      </w:pPr>
      <w:r w:rsidRPr="004A5A07">
        <w:t>NERSC “</w:t>
      </w:r>
      <w:r w:rsidR="001306F1" w:rsidRPr="004A5A07">
        <w:t>Cold Regions products</w:t>
      </w:r>
      <w:r w:rsidRPr="004A5A07">
        <w:t>"</w:t>
      </w:r>
      <w:r w:rsidR="001306F1" w:rsidRPr="004A5A07">
        <w:t xml:space="preserve"> application</w:t>
      </w:r>
    </w:p>
    <w:p w14:paraId="4DB813DF" w14:textId="690B975E" w:rsidR="00FC2F1A" w:rsidRPr="004A5A07" w:rsidRDefault="00FC2F1A" w:rsidP="00281724">
      <w:pPr>
        <w:pStyle w:val="ListParagraph"/>
        <w:numPr>
          <w:ilvl w:val="0"/>
          <w:numId w:val="15"/>
        </w:numPr>
      </w:pPr>
      <w:r w:rsidRPr="004A5A07">
        <w:t>DLR "</w:t>
      </w:r>
      <w:r w:rsidR="001306F1" w:rsidRPr="004A5A07">
        <w:t xml:space="preserve">Megacities </w:t>
      </w:r>
      <w:r w:rsidRPr="004A5A07">
        <w:t xml:space="preserve">Air Pollution </w:t>
      </w:r>
      <w:r w:rsidR="001306F1" w:rsidRPr="004A5A07">
        <w:t>and Health</w:t>
      </w:r>
      <w:r w:rsidRPr="004A5A07">
        <w:t>"</w:t>
      </w:r>
      <w:r w:rsidR="001306F1" w:rsidRPr="004A5A07">
        <w:t xml:space="preserve"> application</w:t>
      </w:r>
    </w:p>
    <w:p w14:paraId="7587EB65" w14:textId="057543E8" w:rsidR="00FC2F1A" w:rsidRPr="004A5A07" w:rsidRDefault="00FC2F1A" w:rsidP="00281724">
      <w:pPr>
        <w:pStyle w:val="ListParagraph"/>
        <w:numPr>
          <w:ilvl w:val="0"/>
          <w:numId w:val="15"/>
        </w:numPr>
      </w:pPr>
      <w:r w:rsidRPr="004A5A07">
        <w:t>CLS "Ocean Drift Modelling"</w:t>
      </w:r>
      <w:r w:rsidR="001306F1" w:rsidRPr="004A5A07">
        <w:t xml:space="preserve"> application</w:t>
      </w:r>
    </w:p>
    <w:p w14:paraId="7BC96FC4" w14:textId="7CBAE91B" w:rsidR="00FC2F1A" w:rsidRPr="004A5A07" w:rsidRDefault="00FC2F1A" w:rsidP="00281724">
      <w:pPr>
        <w:pStyle w:val="ListParagraph"/>
        <w:numPr>
          <w:ilvl w:val="0"/>
          <w:numId w:val="15"/>
        </w:numPr>
      </w:pPr>
      <w:r w:rsidRPr="004A5A07">
        <w:t xml:space="preserve">NOA </w:t>
      </w:r>
      <w:r w:rsidR="001306F1" w:rsidRPr="004A5A07">
        <w:t>“Multi-hazard Enhanced Risk Assessment” application</w:t>
      </w:r>
    </w:p>
    <w:p w14:paraId="671C91D1" w14:textId="298DA998" w:rsidR="00FC2F1A" w:rsidRPr="004A5A07" w:rsidRDefault="001306F1" w:rsidP="00281724">
      <w:pPr>
        <w:pStyle w:val="ListParagraph"/>
        <w:numPr>
          <w:ilvl w:val="0"/>
          <w:numId w:val="15"/>
        </w:numPr>
      </w:pPr>
      <w:r w:rsidRPr="004A5A07">
        <w:t>DEIMOS “</w:t>
      </w:r>
      <w:r w:rsidR="00FC2F1A" w:rsidRPr="004A5A07">
        <w:t>Territorial Planning</w:t>
      </w:r>
      <w:r w:rsidRPr="004A5A07">
        <w:t>” application</w:t>
      </w:r>
    </w:p>
    <w:p w14:paraId="23D4528F" w14:textId="3AAFFE91" w:rsidR="00FC2F1A" w:rsidRPr="004A5A07" w:rsidRDefault="00FC2F1A" w:rsidP="00281724">
      <w:pPr>
        <w:pStyle w:val="ListParagraph"/>
        <w:numPr>
          <w:ilvl w:val="0"/>
          <w:numId w:val="15"/>
        </w:numPr>
      </w:pPr>
      <w:r w:rsidRPr="004A5A07">
        <w:t xml:space="preserve">ITC </w:t>
      </w:r>
      <w:r w:rsidR="001306F1" w:rsidRPr="004A5A07">
        <w:t xml:space="preserve">“Essential </w:t>
      </w:r>
      <w:r w:rsidR="00CF2D58" w:rsidRPr="004A5A07">
        <w:t>Biodiversity</w:t>
      </w:r>
      <w:r w:rsidR="001306F1" w:rsidRPr="004A5A07">
        <w:t xml:space="preserve"> Variables”</w:t>
      </w:r>
      <w:r w:rsidR="00CF2D58" w:rsidRPr="004A5A07">
        <w:t xml:space="preserve"> </w:t>
      </w:r>
      <w:r w:rsidR="001306F1" w:rsidRPr="004A5A07">
        <w:t>application</w:t>
      </w:r>
    </w:p>
    <w:p w14:paraId="7EF29DDD" w14:textId="14CA1BCE" w:rsidR="00CE1F5A" w:rsidRPr="004A5A07" w:rsidRDefault="00CE1F5A" w:rsidP="00CE1F5A"/>
    <w:p w14:paraId="60B8AC7D" w14:textId="0CC5CC0F" w:rsidR="00CE1F5A" w:rsidRDefault="00CE1F5A" w:rsidP="00CE1F5A">
      <w:r w:rsidRPr="004A5A07">
        <w:t xml:space="preserve">The Agreement was discussed and approved by the Customer and the Provider on </w:t>
      </w:r>
      <w:r w:rsidR="00867F5F" w:rsidRPr="004A5A07">
        <w:rPr>
          <w:b/>
        </w:rPr>
        <w:t>August 30</w:t>
      </w:r>
      <w:r w:rsidR="00867F5F" w:rsidRPr="004A5A07">
        <w:rPr>
          <w:b/>
          <w:vertAlign w:val="superscript"/>
        </w:rPr>
        <w:t>th</w:t>
      </w:r>
      <w:r w:rsidR="00867F5F" w:rsidRPr="004A5A07">
        <w:rPr>
          <w:b/>
        </w:rPr>
        <w:t>, 2019</w:t>
      </w:r>
      <w:r w:rsidRPr="004A5A07">
        <w:t>.</w:t>
      </w:r>
    </w:p>
    <w:p w14:paraId="76D40785" w14:textId="3CCA4533" w:rsidR="006E7D9B" w:rsidRDefault="0059011D" w:rsidP="006E7D9B">
      <w:pPr>
        <w:pStyle w:val="Heading1"/>
      </w:pPr>
      <w:bookmarkStart w:id="1" w:name="_Toc531009086"/>
      <w:r>
        <w:t>The Service</w:t>
      </w:r>
      <w:r w:rsidR="0053196A">
        <w:t>s</w:t>
      </w:r>
      <w:bookmarkEnd w:id="1"/>
    </w:p>
    <w:p w14:paraId="1B4150FE" w14:textId="77777777" w:rsidR="00FC2F1A" w:rsidRDefault="00FC2F1A" w:rsidP="00FC2F1A">
      <w:r>
        <w:t>Possible allocation types:</w:t>
      </w:r>
    </w:p>
    <w:p w14:paraId="33CCF3D2" w14:textId="77777777" w:rsidR="00FC2F1A" w:rsidRDefault="00FC2F1A" w:rsidP="00281724">
      <w:pPr>
        <w:numPr>
          <w:ilvl w:val="0"/>
          <w:numId w:val="16"/>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58B28712" w14:textId="77777777" w:rsidR="00FC2F1A" w:rsidRDefault="00FC2F1A" w:rsidP="00281724">
      <w:pPr>
        <w:numPr>
          <w:ilvl w:val="0"/>
          <w:numId w:val="16"/>
        </w:numPr>
        <w:pBdr>
          <w:top w:val="nil"/>
          <w:left w:val="nil"/>
          <w:bottom w:val="nil"/>
          <w:right w:val="nil"/>
          <w:between w:val="nil"/>
        </w:pBdr>
        <w:spacing w:after="0"/>
      </w:pPr>
      <w:r>
        <w:rPr>
          <w:color w:val="000000"/>
        </w:rPr>
        <w:t>Opportunistic - Resources are not exclusively allocated, but subject to local availability.</w:t>
      </w:r>
    </w:p>
    <w:p w14:paraId="53F497D4" w14:textId="77777777" w:rsidR="00FC2F1A" w:rsidRDefault="00FC2F1A" w:rsidP="00281724">
      <w:pPr>
        <w:numPr>
          <w:ilvl w:val="0"/>
          <w:numId w:val="16"/>
        </w:numPr>
        <w:pBdr>
          <w:top w:val="nil"/>
          <w:left w:val="nil"/>
          <w:bottom w:val="nil"/>
          <w:right w:val="nil"/>
          <w:between w:val="nil"/>
        </w:pBdr>
      </w:pPr>
      <w:r>
        <w:rPr>
          <w:color w:val="000000"/>
        </w:rPr>
        <w:t>Time allocation - Resources are available in fair share-like mode for a fixed time period.</w:t>
      </w:r>
    </w:p>
    <w:p w14:paraId="69717522" w14:textId="77777777" w:rsidR="00FC2F1A" w:rsidRDefault="00FC2F1A" w:rsidP="00FC2F1A"/>
    <w:p w14:paraId="40A78061" w14:textId="77777777" w:rsidR="00FC2F1A" w:rsidRDefault="00FC2F1A" w:rsidP="00FC2F1A">
      <w:r>
        <w:t>Possible payment mode offer:</w:t>
      </w:r>
    </w:p>
    <w:p w14:paraId="74F4D9B5" w14:textId="4E987EAF" w:rsidR="00FC2F1A" w:rsidRDefault="00FC2F1A" w:rsidP="00281724">
      <w:pPr>
        <w:numPr>
          <w:ilvl w:val="0"/>
          <w:numId w:val="17"/>
        </w:numPr>
        <w:pBdr>
          <w:top w:val="nil"/>
          <w:left w:val="nil"/>
          <w:bottom w:val="nil"/>
          <w:right w:val="nil"/>
          <w:between w:val="nil"/>
        </w:pBdr>
        <w:spacing w:after="0"/>
      </w:pPr>
      <w:r>
        <w:rPr>
          <w:color w:val="000000"/>
        </w:rPr>
        <w:t xml:space="preserve">Sponsored Model where the customer uses services that are funded, or </w:t>
      </w:r>
      <w:r>
        <w:t>co-funded by</w:t>
      </w:r>
      <w:r>
        <w:rPr>
          <w:color w:val="000000"/>
        </w:rPr>
        <w:t xml:space="preserve"> the European Commission or government grants.</w:t>
      </w:r>
    </w:p>
    <w:p w14:paraId="7050F81A" w14:textId="56B7D0DE" w:rsidR="00FC2F1A" w:rsidRDefault="00041C04" w:rsidP="00281724">
      <w:pPr>
        <w:numPr>
          <w:ilvl w:val="0"/>
          <w:numId w:val="17"/>
        </w:numPr>
        <w:pBdr>
          <w:top w:val="nil"/>
          <w:left w:val="nil"/>
          <w:bottom w:val="nil"/>
          <w:right w:val="nil"/>
          <w:between w:val="nil"/>
        </w:pBdr>
      </w:pPr>
      <w:r>
        <w:rPr>
          <w:color w:val="000000"/>
        </w:rPr>
        <w:t>Pay-for-use</w:t>
      </w:r>
      <w:r w:rsidR="00FC2F1A">
        <w:rPr>
          <w:color w:val="000000"/>
        </w:rPr>
        <w:t xml:space="preserve"> </w:t>
      </w:r>
      <w:r>
        <w:rPr>
          <w:color w:val="000000"/>
        </w:rPr>
        <w:t>–</w:t>
      </w:r>
      <w:r w:rsidR="00FC2F1A">
        <w:rPr>
          <w:color w:val="000000"/>
        </w:rPr>
        <w:t xml:space="preserve"> Model where a customer directly pays for the service used.</w:t>
      </w:r>
    </w:p>
    <w:p w14:paraId="6D4AE751" w14:textId="77777777" w:rsidR="00FC2F1A" w:rsidRDefault="00FC2F1A" w:rsidP="00FC2F1A"/>
    <w:p w14:paraId="6D990197" w14:textId="77777777" w:rsidR="00FC2F1A" w:rsidRDefault="00FC2F1A" w:rsidP="00FC2F1A">
      <w:r>
        <w:t>The Services are defined by the properties summarised in the following table described in the below links:</w:t>
      </w:r>
    </w:p>
    <w:p w14:paraId="21DEDEBD" w14:textId="77777777" w:rsidR="00FC2F1A" w:rsidRDefault="00FC2F1A" w:rsidP="00281724">
      <w:pPr>
        <w:numPr>
          <w:ilvl w:val="0"/>
          <w:numId w:val="17"/>
        </w:numPr>
        <w:pBdr>
          <w:top w:val="nil"/>
          <w:left w:val="nil"/>
          <w:bottom w:val="nil"/>
          <w:right w:val="nil"/>
          <w:between w:val="nil"/>
        </w:pBdr>
        <w:spacing w:after="0"/>
      </w:pPr>
      <w:r>
        <w:rPr>
          <w:b/>
        </w:rPr>
        <w:t>Cloud Compute:</w:t>
      </w:r>
      <w:r>
        <w:t xml:space="preserve"> </w:t>
      </w:r>
      <w:hyperlink r:id="rId13">
        <w:r>
          <w:rPr>
            <w:color w:val="1155CC"/>
            <w:u w:val="single"/>
          </w:rPr>
          <w:t>https://www.egi.eu/services/cloud-compute/</w:t>
        </w:r>
      </w:hyperlink>
      <w:r>
        <w:t xml:space="preserve"> </w:t>
      </w:r>
    </w:p>
    <w:p w14:paraId="7E13CD40" w14:textId="77777777" w:rsidR="00FC2F1A" w:rsidRDefault="00FC2F1A" w:rsidP="00281724">
      <w:pPr>
        <w:numPr>
          <w:ilvl w:val="0"/>
          <w:numId w:val="17"/>
        </w:numPr>
        <w:pBdr>
          <w:top w:val="nil"/>
          <w:left w:val="nil"/>
          <w:bottom w:val="nil"/>
          <w:right w:val="nil"/>
          <w:between w:val="nil"/>
        </w:pBdr>
        <w:spacing w:after="0"/>
      </w:pPr>
      <w:r>
        <w:rPr>
          <w:b/>
        </w:rPr>
        <w:t>Cloud Container Compute:</w:t>
      </w:r>
      <w:r>
        <w:t xml:space="preserve"> </w:t>
      </w:r>
      <w:hyperlink r:id="rId14">
        <w:r>
          <w:rPr>
            <w:color w:val="1155CC"/>
            <w:u w:val="single"/>
          </w:rPr>
          <w:t>https://www.egi.eu/services/cloud-container/</w:t>
        </w:r>
      </w:hyperlink>
      <w:r>
        <w:t xml:space="preserve"> </w:t>
      </w:r>
    </w:p>
    <w:p w14:paraId="58B61339" w14:textId="77777777" w:rsidR="00FC2F1A" w:rsidRDefault="00FC2F1A" w:rsidP="00281724">
      <w:pPr>
        <w:numPr>
          <w:ilvl w:val="0"/>
          <w:numId w:val="17"/>
        </w:numPr>
        <w:pBdr>
          <w:top w:val="nil"/>
          <w:left w:val="nil"/>
          <w:bottom w:val="nil"/>
          <w:right w:val="nil"/>
          <w:between w:val="nil"/>
        </w:pBdr>
        <w:spacing w:after="0"/>
      </w:pPr>
      <w:r>
        <w:rPr>
          <w:b/>
        </w:rPr>
        <w:t xml:space="preserve">High-Throughput Compute: </w:t>
      </w:r>
      <w:hyperlink r:id="rId15">
        <w:r>
          <w:rPr>
            <w:color w:val="1155CC"/>
            <w:u w:val="single"/>
          </w:rPr>
          <w:t>https://www.egi.eu/services/high-throughput-compute/</w:t>
        </w:r>
      </w:hyperlink>
      <w:r>
        <w:t xml:space="preserve"> </w:t>
      </w:r>
    </w:p>
    <w:p w14:paraId="5C0C5F07" w14:textId="77777777" w:rsidR="00FC2F1A" w:rsidRDefault="00FC2F1A" w:rsidP="00281724">
      <w:pPr>
        <w:numPr>
          <w:ilvl w:val="0"/>
          <w:numId w:val="17"/>
        </w:numPr>
        <w:pBdr>
          <w:top w:val="nil"/>
          <w:left w:val="nil"/>
          <w:bottom w:val="nil"/>
          <w:right w:val="nil"/>
          <w:between w:val="nil"/>
        </w:pBdr>
        <w:spacing w:after="0"/>
      </w:pPr>
      <w:r>
        <w:rPr>
          <w:b/>
        </w:rPr>
        <w:t>Online Storage:</w:t>
      </w:r>
      <w:r>
        <w:t xml:space="preserve"> </w:t>
      </w:r>
      <w:hyperlink r:id="rId16">
        <w:r>
          <w:rPr>
            <w:color w:val="1155CC"/>
            <w:u w:val="single"/>
          </w:rPr>
          <w:t>https://www.egi.eu/services/online-storage/</w:t>
        </w:r>
      </w:hyperlink>
    </w:p>
    <w:p w14:paraId="61A669E8" w14:textId="77777777" w:rsidR="00FC2F1A" w:rsidRDefault="00FC2F1A" w:rsidP="00281724">
      <w:pPr>
        <w:numPr>
          <w:ilvl w:val="0"/>
          <w:numId w:val="17"/>
        </w:numPr>
        <w:pBdr>
          <w:top w:val="nil"/>
          <w:left w:val="nil"/>
          <w:bottom w:val="nil"/>
          <w:right w:val="nil"/>
          <w:between w:val="nil"/>
        </w:pBdr>
        <w:spacing w:after="0"/>
      </w:pPr>
      <w:r>
        <w:rPr>
          <w:b/>
        </w:rPr>
        <w:t>Archive storage</w:t>
      </w:r>
      <w:r w:rsidRPr="00E91874">
        <w:rPr>
          <w:color w:val="1155CC"/>
          <w:u w:val="single"/>
        </w:rPr>
        <w:t xml:space="preserve">: </w:t>
      </w:r>
      <w:hyperlink r:id="rId17">
        <w:r w:rsidRPr="00E91874">
          <w:rPr>
            <w:color w:val="1155CC"/>
            <w:u w:val="single"/>
          </w:rPr>
          <w:t>https://www.egi.eu/services/archive-storage/</w:t>
        </w:r>
      </w:hyperlink>
      <w:r>
        <w:t xml:space="preserve"> </w:t>
      </w:r>
    </w:p>
    <w:p w14:paraId="2B34329C" w14:textId="6D96AD97" w:rsidR="00FC2F1A" w:rsidRDefault="00FC2F1A" w:rsidP="00FC2F1A">
      <w:pPr>
        <w:rPr>
          <w:b/>
          <w:highlight w:val="yellow"/>
        </w:rPr>
      </w:pPr>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978"/>
        <w:gridCol w:w="978"/>
        <w:gridCol w:w="978"/>
        <w:gridCol w:w="978"/>
        <w:gridCol w:w="978"/>
        <w:gridCol w:w="978"/>
        <w:gridCol w:w="978"/>
        <w:gridCol w:w="978"/>
        <w:gridCol w:w="978"/>
        <w:gridCol w:w="979"/>
      </w:tblGrid>
      <w:tr w:rsidR="00E91874" w:rsidRPr="00FA7957" w14:paraId="295C2A18" w14:textId="038AE4B8" w:rsidTr="00690862">
        <w:trPr>
          <w:trHeight w:val="420"/>
        </w:trPr>
        <w:tc>
          <w:tcPr>
            <w:tcW w:w="10774" w:type="dxa"/>
            <w:gridSpan w:val="11"/>
            <w:shd w:val="clear" w:color="auto" w:fill="B8CCE4"/>
            <w:tcMar>
              <w:top w:w="100" w:type="dxa"/>
              <w:left w:w="100" w:type="dxa"/>
              <w:bottom w:w="100" w:type="dxa"/>
              <w:right w:w="100" w:type="dxa"/>
            </w:tcMar>
          </w:tcPr>
          <w:p w14:paraId="02750A4A" w14:textId="33CDD4C6" w:rsidR="00E91874" w:rsidRPr="004A5A07" w:rsidRDefault="00E91874" w:rsidP="00FC2F1A">
            <w:pPr>
              <w:spacing w:after="0"/>
              <w:jc w:val="left"/>
              <w:rPr>
                <w:b/>
                <w:sz w:val="18"/>
                <w:szCs w:val="18"/>
              </w:rPr>
            </w:pPr>
            <w:r w:rsidRPr="004A5A07">
              <w:rPr>
                <w:b/>
                <w:sz w:val="18"/>
                <w:szCs w:val="18"/>
              </w:rPr>
              <w:t xml:space="preserve">Compute </w:t>
            </w:r>
          </w:p>
        </w:tc>
      </w:tr>
      <w:tr w:rsidR="00FA7957" w:rsidRPr="00FA7957" w14:paraId="702BB30E" w14:textId="5F186923" w:rsidTr="00690862">
        <w:tc>
          <w:tcPr>
            <w:tcW w:w="993" w:type="dxa"/>
            <w:shd w:val="clear" w:color="auto" w:fill="auto"/>
            <w:tcMar>
              <w:top w:w="100" w:type="dxa"/>
              <w:left w:w="100" w:type="dxa"/>
              <w:bottom w:w="100" w:type="dxa"/>
              <w:right w:w="100" w:type="dxa"/>
            </w:tcMar>
          </w:tcPr>
          <w:p w14:paraId="4FC7A605" w14:textId="77777777" w:rsidR="0086659B" w:rsidRPr="004A5A07" w:rsidRDefault="0086659B" w:rsidP="0086659B">
            <w:pPr>
              <w:spacing w:after="0"/>
              <w:jc w:val="left"/>
              <w:rPr>
                <w:b/>
                <w:bCs/>
                <w:sz w:val="18"/>
                <w:szCs w:val="18"/>
              </w:rPr>
            </w:pPr>
            <w:r w:rsidRPr="004A5A07">
              <w:rPr>
                <w:b/>
                <w:bCs/>
                <w:sz w:val="18"/>
                <w:szCs w:val="18"/>
              </w:rPr>
              <w:t>Pilot</w:t>
            </w:r>
          </w:p>
        </w:tc>
        <w:tc>
          <w:tcPr>
            <w:tcW w:w="978" w:type="dxa"/>
            <w:shd w:val="clear" w:color="auto" w:fill="auto"/>
            <w:tcMar>
              <w:top w:w="100" w:type="dxa"/>
              <w:left w:w="100" w:type="dxa"/>
              <w:bottom w:w="100" w:type="dxa"/>
              <w:right w:w="100" w:type="dxa"/>
            </w:tcMar>
          </w:tcPr>
          <w:p w14:paraId="3938FCB6" w14:textId="2FAC9A5C" w:rsidR="0086659B" w:rsidRPr="004A5A07" w:rsidRDefault="0086659B" w:rsidP="009E00A2">
            <w:pPr>
              <w:tabs>
                <w:tab w:val="left" w:pos="642"/>
              </w:tabs>
              <w:spacing w:after="0"/>
              <w:jc w:val="left"/>
              <w:rPr>
                <w:b/>
                <w:sz w:val="18"/>
                <w:szCs w:val="18"/>
              </w:rPr>
            </w:pPr>
            <w:r w:rsidRPr="004A5A07">
              <w:rPr>
                <w:b/>
                <w:sz w:val="18"/>
                <w:szCs w:val="18"/>
              </w:rPr>
              <w:t xml:space="preserve">1. VITO’s Sentinel2 Biopar </w:t>
            </w:r>
            <w:r w:rsidR="009E00A2" w:rsidRPr="004A5A07">
              <w:rPr>
                <w:b/>
                <w:sz w:val="18"/>
                <w:szCs w:val="18"/>
              </w:rPr>
              <w:t>Crop Monitoring Pilot</w:t>
            </w:r>
          </w:p>
        </w:tc>
        <w:tc>
          <w:tcPr>
            <w:tcW w:w="978" w:type="dxa"/>
            <w:shd w:val="clear" w:color="auto" w:fill="auto"/>
            <w:tcMar>
              <w:top w:w="100" w:type="dxa"/>
              <w:left w:w="100" w:type="dxa"/>
              <w:bottom w:w="100" w:type="dxa"/>
              <w:right w:w="100" w:type="dxa"/>
            </w:tcMar>
          </w:tcPr>
          <w:p w14:paraId="5A43A55C" w14:textId="3EF81AFF" w:rsidR="0086659B" w:rsidRPr="004A5A07" w:rsidRDefault="0086659B" w:rsidP="009E00A2">
            <w:pPr>
              <w:spacing w:after="0"/>
              <w:jc w:val="left"/>
              <w:rPr>
                <w:b/>
                <w:sz w:val="18"/>
                <w:szCs w:val="18"/>
              </w:rPr>
            </w:pPr>
            <w:r w:rsidRPr="004A5A07">
              <w:rPr>
                <w:b/>
                <w:sz w:val="18"/>
                <w:szCs w:val="18"/>
              </w:rPr>
              <w:t xml:space="preserve">2. ARMINES </w:t>
            </w:r>
            <w:r w:rsidR="009E00A2" w:rsidRPr="004A5A07">
              <w:rPr>
                <w:b/>
                <w:sz w:val="18"/>
                <w:szCs w:val="18"/>
              </w:rPr>
              <w:t xml:space="preserve">Solar Energy </w:t>
            </w:r>
            <w:r w:rsidR="00FA7957" w:rsidRPr="004A5A07">
              <w:rPr>
                <w:b/>
                <w:sz w:val="18"/>
                <w:szCs w:val="18"/>
              </w:rPr>
              <w:t>-</w:t>
            </w:r>
            <w:r w:rsidRPr="004A5A07">
              <w:rPr>
                <w:b/>
                <w:sz w:val="18"/>
                <w:szCs w:val="18"/>
              </w:rPr>
              <w:t xml:space="preserve"> </w:t>
            </w:r>
            <w:r w:rsidR="009E00A2" w:rsidRPr="004A5A07">
              <w:rPr>
                <w:b/>
                <w:sz w:val="18"/>
                <w:szCs w:val="18"/>
              </w:rPr>
              <w:t>Pilot</w:t>
            </w:r>
          </w:p>
        </w:tc>
        <w:tc>
          <w:tcPr>
            <w:tcW w:w="978" w:type="dxa"/>
          </w:tcPr>
          <w:p w14:paraId="2E221861" w14:textId="55B11F04" w:rsidR="0086659B" w:rsidRPr="004A5A07" w:rsidRDefault="0086659B" w:rsidP="0086659B">
            <w:pPr>
              <w:spacing w:after="0"/>
              <w:jc w:val="left"/>
              <w:rPr>
                <w:b/>
                <w:sz w:val="18"/>
                <w:szCs w:val="18"/>
              </w:rPr>
            </w:pPr>
            <w:r w:rsidRPr="004A5A07">
              <w:rPr>
                <w:b/>
                <w:sz w:val="18"/>
                <w:szCs w:val="18"/>
              </w:rPr>
              <w:t xml:space="preserve">3. </w:t>
            </w:r>
            <w:r w:rsidR="009E00A2" w:rsidRPr="004A5A07">
              <w:rPr>
                <w:b/>
                <w:sz w:val="18"/>
                <w:szCs w:val="18"/>
              </w:rPr>
              <w:t>WNER (</w:t>
            </w:r>
            <w:r w:rsidRPr="004A5A07">
              <w:rPr>
                <w:b/>
                <w:sz w:val="18"/>
                <w:szCs w:val="18"/>
              </w:rPr>
              <w:t>WUR ALTERRA</w:t>
            </w:r>
            <w:r w:rsidR="009E00A2" w:rsidRPr="004A5A07">
              <w:rPr>
                <w:b/>
                <w:sz w:val="18"/>
                <w:szCs w:val="18"/>
              </w:rPr>
              <w:t>)</w:t>
            </w:r>
            <w:r w:rsidRPr="004A5A07">
              <w:rPr>
                <w:b/>
                <w:sz w:val="18"/>
                <w:szCs w:val="18"/>
              </w:rPr>
              <w:t xml:space="preserve"> Maxtent Habitat Monitor</w:t>
            </w:r>
            <w:r w:rsidR="00FA7957" w:rsidRPr="004A5A07">
              <w:rPr>
                <w:b/>
                <w:sz w:val="18"/>
                <w:szCs w:val="18"/>
              </w:rPr>
              <w:t>-</w:t>
            </w:r>
            <w:r w:rsidRPr="004A5A07">
              <w:rPr>
                <w:b/>
                <w:sz w:val="18"/>
                <w:szCs w:val="18"/>
              </w:rPr>
              <w:t>ing</w:t>
            </w:r>
            <w:r w:rsidR="009E00A2" w:rsidRPr="004A5A07">
              <w:rPr>
                <w:b/>
                <w:sz w:val="18"/>
                <w:szCs w:val="18"/>
              </w:rPr>
              <w:t xml:space="preserve"> Pilot</w:t>
            </w:r>
          </w:p>
        </w:tc>
        <w:tc>
          <w:tcPr>
            <w:tcW w:w="978" w:type="dxa"/>
          </w:tcPr>
          <w:p w14:paraId="1D0AEC8E" w14:textId="4F307FC7" w:rsidR="0086659B" w:rsidRPr="004A5A07" w:rsidRDefault="0086659B" w:rsidP="009E00A2">
            <w:pPr>
              <w:spacing w:after="0"/>
              <w:jc w:val="left"/>
              <w:rPr>
                <w:b/>
                <w:sz w:val="18"/>
                <w:szCs w:val="18"/>
              </w:rPr>
            </w:pPr>
            <w:r w:rsidRPr="004A5A07">
              <w:rPr>
                <w:b/>
                <w:bCs/>
                <w:sz w:val="18"/>
                <w:szCs w:val="18"/>
              </w:rPr>
              <w:t xml:space="preserve">4. SATCEN </w:t>
            </w:r>
            <w:r w:rsidR="009E00A2" w:rsidRPr="004A5A07">
              <w:rPr>
                <w:b/>
                <w:bCs/>
                <w:sz w:val="18"/>
                <w:szCs w:val="18"/>
              </w:rPr>
              <w:t xml:space="preserve">Change </w:t>
            </w:r>
            <w:r w:rsidRPr="004A5A07">
              <w:rPr>
                <w:b/>
                <w:bCs/>
                <w:sz w:val="18"/>
                <w:szCs w:val="18"/>
              </w:rPr>
              <w:t>Detec-tion Pilot</w:t>
            </w:r>
          </w:p>
        </w:tc>
        <w:tc>
          <w:tcPr>
            <w:tcW w:w="978" w:type="dxa"/>
          </w:tcPr>
          <w:p w14:paraId="74BCE20D" w14:textId="590FA104" w:rsidR="0086659B" w:rsidRPr="004A5A07" w:rsidRDefault="0086659B" w:rsidP="009E00A2">
            <w:pPr>
              <w:spacing w:after="0"/>
              <w:jc w:val="left"/>
              <w:rPr>
                <w:b/>
                <w:sz w:val="18"/>
                <w:szCs w:val="18"/>
              </w:rPr>
            </w:pPr>
            <w:r w:rsidRPr="004A5A07">
              <w:rPr>
                <w:b/>
                <w:sz w:val="18"/>
                <w:szCs w:val="18"/>
              </w:rPr>
              <w:t xml:space="preserve">5. NERSC </w:t>
            </w:r>
            <w:r w:rsidR="009E00A2" w:rsidRPr="004A5A07">
              <w:rPr>
                <w:b/>
                <w:sz w:val="18"/>
                <w:szCs w:val="18"/>
              </w:rPr>
              <w:t>Cold Regions products Pilot</w:t>
            </w:r>
          </w:p>
        </w:tc>
        <w:tc>
          <w:tcPr>
            <w:tcW w:w="978" w:type="dxa"/>
          </w:tcPr>
          <w:p w14:paraId="2606B7C8" w14:textId="0409E09A" w:rsidR="0086659B" w:rsidRPr="004A5A07" w:rsidRDefault="0086659B" w:rsidP="009E00A2">
            <w:pPr>
              <w:spacing w:after="0"/>
              <w:jc w:val="left"/>
              <w:rPr>
                <w:b/>
                <w:sz w:val="18"/>
                <w:szCs w:val="18"/>
              </w:rPr>
            </w:pPr>
            <w:r w:rsidRPr="004A5A07">
              <w:rPr>
                <w:b/>
                <w:sz w:val="18"/>
                <w:szCs w:val="18"/>
              </w:rPr>
              <w:t xml:space="preserve">6. DLR </w:t>
            </w:r>
            <w:r w:rsidR="009E00A2" w:rsidRPr="004A5A07">
              <w:rPr>
                <w:b/>
                <w:sz w:val="18"/>
                <w:szCs w:val="18"/>
              </w:rPr>
              <w:t xml:space="preserve">Megacities </w:t>
            </w:r>
            <w:r w:rsidRPr="004A5A07">
              <w:rPr>
                <w:b/>
                <w:sz w:val="18"/>
                <w:szCs w:val="18"/>
              </w:rPr>
              <w:t xml:space="preserve">Air Pollution </w:t>
            </w:r>
            <w:r w:rsidR="009E00A2" w:rsidRPr="004A5A07">
              <w:rPr>
                <w:b/>
                <w:sz w:val="18"/>
                <w:szCs w:val="18"/>
              </w:rPr>
              <w:t>and Health</w:t>
            </w:r>
            <w:r w:rsidRPr="004A5A07">
              <w:rPr>
                <w:b/>
                <w:sz w:val="18"/>
                <w:szCs w:val="18"/>
              </w:rPr>
              <w:t xml:space="preserve"> </w:t>
            </w:r>
            <w:r w:rsidR="009E00A2" w:rsidRPr="004A5A07">
              <w:rPr>
                <w:b/>
                <w:sz w:val="18"/>
                <w:szCs w:val="18"/>
              </w:rPr>
              <w:t>Pilot</w:t>
            </w:r>
          </w:p>
        </w:tc>
        <w:tc>
          <w:tcPr>
            <w:tcW w:w="978" w:type="dxa"/>
          </w:tcPr>
          <w:p w14:paraId="154D9D40" w14:textId="7DE209D2" w:rsidR="0086659B" w:rsidRPr="004A5A07" w:rsidRDefault="0086659B" w:rsidP="0086659B">
            <w:pPr>
              <w:spacing w:after="0"/>
              <w:jc w:val="left"/>
              <w:rPr>
                <w:b/>
                <w:sz w:val="18"/>
                <w:szCs w:val="18"/>
              </w:rPr>
            </w:pPr>
            <w:r w:rsidRPr="004A5A07">
              <w:rPr>
                <w:b/>
                <w:sz w:val="18"/>
                <w:szCs w:val="18"/>
              </w:rPr>
              <w:t xml:space="preserve">7. </w:t>
            </w:r>
            <w:r w:rsidR="00FA7957" w:rsidRPr="004A5A07">
              <w:rPr>
                <w:b/>
                <w:sz w:val="18"/>
                <w:szCs w:val="18"/>
              </w:rPr>
              <w:t>CLS Ocean Drift Modell-ing</w:t>
            </w:r>
            <w:r w:rsidR="00861A09" w:rsidRPr="004A5A07">
              <w:rPr>
                <w:b/>
                <w:sz w:val="18"/>
                <w:szCs w:val="18"/>
              </w:rPr>
              <w:t xml:space="preserve"> Pilot</w:t>
            </w:r>
          </w:p>
        </w:tc>
        <w:tc>
          <w:tcPr>
            <w:tcW w:w="978" w:type="dxa"/>
          </w:tcPr>
          <w:p w14:paraId="2467C967" w14:textId="7887695D" w:rsidR="0086659B" w:rsidRPr="004A5A07" w:rsidRDefault="0086659B" w:rsidP="0086659B">
            <w:pPr>
              <w:spacing w:after="0"/>
              <w:jc w:val="left"/>
              <w:rPr>
                <w:b/>
                <w:sz w:val="18"/>
                <w:szCs w:val="18"/>
              </w:rPr>
            </w:pPr>
            <w:r w:rsidRPr="004A5A07">
              <w:rPr>
                <w:b/>
                <w:bCs/>
                <w:sz w:val="18"/>
                <w:szCs w:val="18"/>
              </w:rPr>
              <w:t xml:space="preserve">8. NOA </w:t>
            </w:r>
            <w:r w:rsidR="00861A09" w:rsidRPr="004A5A07">
              <w:rPr>
                <w:b/>
                <w:bCs/>
                <w:sz w:val="18"/>
                <w:szCs w:val="18"/>
              </w:rPr>
              <w:t xml:space="preserve">Risk Assessment </w:t>
            </w:r>
            <w:r w:rsidRPr="004A5A07">
              <w:rPr>
                <w:b/>
                <w:bCs/>
                <w:sz w:val="18"/>
                <w:szCs w:val="18"/>
              </w:rPr>
              <w:t>Pilot</w:t>
            </w:r>
          </w:p>
        </w:tc>
        <w:tc>
          <w:tcPr>
            <w:tcW w:w="978" w:type="dxa"/>
          </w:tcPr>
          <w:p w14:paraId="4FD7FCBC" w14:textId="304C41DC" w:rsidR="0086659B" w:rsidRPr="004A5A07" w:rsidRDefault="0086659B" w:rsidP="0086659B">
            <w:pPr>
              <w:spacing w:after="0"/>
              <w:jc w:val="left"/>
              <w:rPr>
                <w:b/>
                <w:sz w:val="18"/>
                <w:szCs w:val="18"/>
              </w:rPr>
            </w:pPr>
            <w:r w:rsidRPr="004A5A07">
              <w:rPr>
                <w:b/>
                <w:sz w:val="18"/>
                <w:szCs w:val="18"/>
              </w:rPr>
              <w:t>9. Deimos Territor</w:t>
            </w:r>
            <w:r w:rsidR="00CF2D58" w:rsidRPr="004A5A07">
              <w:rPr>
                <w:b/>
                <w:sz w:val="18"/>
                <w:szCs w:val="18"/>
              </w:rPr>
              <w:t>-</w:t>
            </w:r>
            <w:r w:rsidRPr="004A5A07">
              <w:rPr>
                <w:b/>
                <w:sz w:val="18"/>
                <w:szCs w:val="18"/>
              </w:rPr>
              <w:t>ial Planning</w:t>
            </w:r>
            <w:r w:rsidR="00861A09" w:rsidRPr="004A5A07">
              <w:rPr>
                <w:b/>
                <w:sz w:val="18"/>
                <w:szCs w:val="18"/>
              </w:rPr>
              <w:t xml:space="preserve"> Pilot</w:t>
            </w:r>
          </w:p>
        </w:tc>
        <w:tc>
          <w:tcPr>
            <w:tcW w:w="979" w:type="dxa"/>
          </w:tcPr>
          <w:p w14:paraId="46863CA8" w14:textId="1D6EC290" w:rsidR="0086659B" w:rsidRPr="004A5A07" w:rsidRDefault="0086659B" w:rsidP="0086659B">
            <w:pPr>
              <w:spacing w:after="0"/>
              <w:jc w:val="left"/>
              <w:rPr>
                <w:b/>
                <w:sz w:val="18"/>
                <w:szCs w:val="18"/>
              </w:rPr>
            </w:pPr>
            <w:r w:rsidRPr="004A5A07">
              <w:rPr>
                <w:b/>
                <w:sz w:val="18"/>
                <w:szCs w:val="18"/>
              </w:rPr>
              <w:t>10. ITC Biodiver-sity</w:t>
            </w:r>
            <w:r w:rsidR="00CF2D58" w:rsidRPr="004A5A07">
              <w:rPr>
                <w:b/>
                <w:sz w:val="18"/>
                <w:szCs w:val="18"/>
              </w:rPr>
              <w:t xml:space="preserve"> Pilot T6.2.1</w:t>
            </w:r>
          </w:p>
        </w:tc>
      </w:tr>
      <w:tr w:rsidR="0086659B" w:rsidRPr="00FA7957" w14:paraId="3CECA2AB" w14:textId="77777777" w:rsidTr="00690862">
        <w:tc>
          <w:tcPr>
            <w:tcW w:w="993" w:type="dxa"/>
            <w:shd w:val="clear" w:color="auto" w:fill="auto"/>
            <w:tcMar>
              <w:top w:w="100" w:type="dxa"/>
              <w:left w:w="100" w:type="dxa"/>
              <w:bottom w:w="100" w:type="dxa"/>
              <w:right w:w="100" w:type="dxa"/>
            </w:tcMar>
          </w:tcPr>
          <w:p w14:paraId="1F9748A0" w14:textId="69F07803" w:rsidR="0086659B" w:rsidRPr="004A5A07" w:rsidRDefault="0086659B" w:rsidP="0086659B">
            <w:pPr>
              <w:spacing w:after="0"/>
              <w:jc w:val="left"/>
              <w:rPr>
                <w:sz w:val="18"/>
                <w:szCs w:val="18"/>
              </w:rPr>
            </w:pPr>
            <w:r w:rsidRPr="004A5A07">
              <w:rPr>
                <w:sz w:val="18"/>
                <w:szCs w:val="18"/>
              </w:rPr>
              <w:t>Resource Centre</w:t>
            </w:r>
          </w:p>
        </w:tc>
        <w:tc>
          <w:tcPr>
            <w:tcW w:w="978" w:type="dxa"/>
            <w:shd w:val="clear" w:color="auto" w:fill="auto"/>
            <w:tcMar>
              <w:top w:w="100" w:type="dxa"/>
              <w:left w:w="100" w:type="dxa"/>
              <w:bottom w:w="100" w:type="dxa"/>
              <w:right w:w="100" w:type="dxa"/>
            </w:tcMar>
          </w:tcPr>
          <w:p w14:paraId="09C9E125" w14:textId="600AB94C" w:rsidR="0086659B" w:rsidRPr="004A5A07" w:rsidRDefault="0086659B" w:rsidP="0086659B">
            <w:pPr>
              <w:tabs>
                <w:tab w:val="left" w:pos="642"/>
              </w:tabs>
              <w:spacing w:after="0"/>
              <w:jc w:val="left"/>
              <w:rPr>
                <w:b/>
                <w:sz w:val="18"/>
                <w:szCs w:val="18"/>
              </w:rPr>
            </w:pPr>
            <w:r w:rsidRPr="004A5A07">
              <w:rPr>
                <w:b/>
                <w:sz w:val="18"/>
                <w:szCs w:val="18"/>
              </w:rPr>
              <w:t>RECAS-BARI</w:t>
            </w:r>
          </w:p>
        </w:tc>
        <w:tc>
          <w:tcPr>
            <w:tcW w:w="978" w:type="dxa"/>
            <w:shd w:val="clear" w:color="auto" w:fill="auto"/>
            <w:tcMar>
              <w:top w:w="100" w:type="dxa"/>
              <w:left w:w="100" w:type="dxa"/>
              <w:bottom w:w="100" w:type="dxa"/>
              <w:right w:w="100" w:type="dxa"/>
            </w:tcMar>
          </w:tcPr>
          <w:p w14:paraId="20CEF2B4" w14:textId="64EC8DD8" w:rsidR="0086659B" w:rsidRPr="004A5A07" w:rsidRDefault="0086659B" w:rsidP="0086659B">
            <w:pPr>
              <w:spacing w:after="0"/>
              <w:jc w:val="left"/>
              <w:rPr>
                <w:b/>
                <w:sz w:val="18"/>
                <w:szCs w:val="18"/>
              </w:rPr>
            </w:pPr>
            <w:r w:rsidRPr="004A5A07">
              <w:rPr>
                <w:b/>
                <w:sz w:val="18"/>
                <w:szCs w:val="18"/>
              </w:rPr>
              <w:t>IISAS-FedCloud</w:t>
            </w:r>
          </w:p>
        </w:tc>
        <w:tc>
          <w:tcPr>
            <w:tcW w:w="978" w:type="dxa"/>
          </w:tcPr>
          <w:p w14:paraId="3E41A7F3" w14:textId="53147C40" w:rsidR="0086659B" w:rsidRPr="004A5A07" w:rsidRDefault="0086659B" w:rsidP="0086659B">
            <w:pPr>
              <w:spacing w:after="0"/>
              <w:jc w:val="left"/>
              <w:rPr>
                <w:b/>
                <w:sz w:val="18"/>
                <w:szCs w:val="18"/>
              </w:rPr>
            </w:pPr>
            <w:r w:rsidRPr="004A5A07">
              <w:rPr>
                <w:b/>
                <w:sz w:val="18"/>
                <w:szCs w:val="18"/>
              </w:rPr>
              <w:t>RECAS-BARI</w:t>
            </w:r>
          </w:p>
        </w:tc>
        <w:tc>
          <w:tcPr>
            <w:tcW w:w="978" w:type="dxa"/>
          </w:tcPr>
          <w:p w14:paraId="77D4F6D5" w14:textId="5DA1E5C1" w:rsidR="0086659B" w:rsidRPr="004A5A07" w:rsidRDefault="0086659B" w:rsidP="0086659B">
            <w:pPr>
              <w:spacing w:after="0"/>
              <w:jc w:val="left"/>
              <w:rPr>
                <w:b/>
                <w:sz w:val="18"/>
                <w:szCs w:val="18"/>
              </w:rPr>
            </w:pPr>
            <w:r w:rsidRPr="004A5A07">
              <w:rPr>
                <w:b/>
                <w:sz w:val="18"/>
                <w:szCs w:val="18"/>
              </w:rPr>
              <w:t>100%IT</w:t>
            </w:r>
          </w:p>
        </w:tc>
        <w:tc>
          <w:tcPr>
            <w:tcW w:w="978" w:type="dxa"/>
          </w:tcPr>
          <w:p w14:paraId="400E3640" w14:textId="2FA49A20" w:rsidR="0086659B" w:rsidRPr="004A5A07" w:rsidRDefault="0086659B" w:rsidP="0086659B">
            <w:pPr>
              <w:spacing w:after="0"/>
              <w:jc w:val="left"/>
              <w:rPr>
                <w:b/>
                <w:sz w:val="18"/>
                <w:szCs w:val="18"/>
              </w:rPr>
            </w:pPr>
            <w:r w:rsidRPr="004A5A07">
              <w:rPr>
                <w:b/>
                <w:sz w:val="18"/>
                <w:szCs w:val="18"/>
              </w:rPr>
              <w:t>CESNET-MCC</w:t>
            </w:r>
          </w:p>
        </w:tc>
        <w:tc>
          <w:tcPr>
            <w:tcW w:w="978" w:type="dxa"/>
          </w:tcPr>
          <w:p w14:paraId="7C440C3D" w14:textId="0F5E54B4" w:rsidR="0086659B" w:rsidRPr="004A5A07" w:rsidRDefault="0086659B" w:rsidP="0086659B">
            <w:pPr>
              <w:spacing w:after="0"/>
              <w:jc w:val="left"/>
              <w:rPr>
                <w:b/>
                <w:sz w:val="18"/>
                <w:szCs w:val="18"/>
              </w:rPr>
            </w:pPr>
            <w:r w:rsidRPr="004A5A07">
              <w:rPr>
                <w:b/>
                <w:sz w:val="18"/>
                <w:szCs w:val="18"/>
              </w:rPr>
              <w:t>CESGA</w:t>
            </w:r>
          </w:p>
        </w:tc>
        <w:tc>
          <w:tcPr>
            <w:tcW w:w="978" w:type="dxa"/>
          </w:tcPr>
          <w:p w14:paraId="59967BF1" w14:textId="23D54023" w:rsidR="0086659B" w:rsidRPr="004A5A07" w:rsidRDefault="00FA7957" w:rsidP="0086659B">
            <w:pPr>
              <w:spacing w:after="0"/>
              <w:jc w:val="left"/>
              <w:rPr>
                <w:b/>
                <w:sz w:val="18"/>
                <w:szCs w:val="18"/>
              </w:rPr>
            </w:pPr>
            <w:r w:rsidRPr="004A5A07">
              <w:rPr>
                <w:b/>
                <w:sz w:val="18"/>
                <w:szCs w:val="18"/>
              </w:rPr>
              <w:t>IFCA-LCG2</w:t>
            </w:r>
          </w:p>
        </w:tc>
        <w:tc>
          <w:tcPr>
            <w:tcW w:w="978" w:type="dxa"/>
          </w:tcPr>
          <w:p w14:paraId="7D1DA915" w14:textId="385241F0" w:rsidR="0086659B" w:rsidRPr="004A5A07" w:rsidRDefault="0086659B" w:rsidP="0086659B">
            <w:pPr>
              <w:spacing w:after="0"/>
              <w:jc w:val="left"/>
              <w:rPr>
                <w:b/>
                <w:sz w:val="18"/>
                <w:szCs w:val="18"/>
              </w:rPr>
            </w:pPr>
            <w:r w:rsidRPr="004A5A07">
              <w:rPr>
                <w:b/>
                <w:sz w:val="18"/>
                <w:szCs w:val="18"/>
              </w:rPr>
              <w:t>100%IT</w:t>
            </w:r>
          </w:p>
        </w:tc>
        <w:tc>
          <w:tcPr>
            <w:tcW w:w="978" w:type="dxa"/>
          </w:tcPr>
          <w:p w14:paraId="75EC9757" w14:textId="3B1D8C45" w:rsidR="0086659B" w:rsidRPr="004A5A07" w:rsidRDefault="0086659B" w:rsidP="0086659B">
            <w:pPr>
              <w:spacing w:after="0"/>
              <w:jc w:val="left"/>
              <w:rPr>
                <w:b/>
                <w:sz w:val="18"/>
                <w:szCs w:val="18"/>
              </w:rPr>
            </w:pPr>
            <w:r w:rsidRPr="004A5A07">
              <w:rPr>
                <w:b/>
                <w:sz w:val="18"/>
                <w:szCs w:val="18"/>
              </w:rPr>
              <w:t>CESGA</w:t>
            </w:r>
          </w:p>
        </w:tc>
        <w:tc>
          <w:tcPr>
            <w:tcW w:w="979" w:type="dxa"/>
          </w:tcPr>
          <w:p w14:paraId="1076E99B" w14:textId="7600956D" w:rsidR="0086659B" w:rsidRPr="004A5A07" w:rsidRDefault="0086659B" w:rsidP="0086659B">
            <w:pPr>
              <w:spacing w:after="0"/>
              <w:jc w:val="left"/>
              <w:rPr>
                <w:b/>
                <w:sz w:val="18"/>
                <w:szCs w:val="18"/>
              </w:rPr>
            </w:pPr>
            <w:r w:rsidRPr="004A5A07">
              <w:rPr>
                <w:b/>
                <w:sz w:val="18"/>
                <w:szCs w:val="18"/>
              </w:rPr>
              <w:t>CESGA</w:t>
            </w:r>
          </w:p>
        </w:tc>
      </w:tr>
      <w:tr w:rsidR="00FA7957" w:rsidRPr="00FA7957" w14:paraId="40EF7CF2" w14:textId="26D1DAD1" w:rsidTr="00690862">
        <w:tc>
          <w:tcPr>
            <w:tcW w:w="993" w:type="dxa"/>
            <w:shd w:val="clear" w:color="auto" w:fill="auto"/>
            <w:tcMar>
              <w:top w:w="100" w:type="dxa"/>
              <w:left w:w="100" w:type="dxa"/>
              <w:bottom w:w="100" w:type="dxa"/>
              <w:right w:w="100" w:type="dxa"/>
            </w:tcMar>
          </w:tcPr>
          <w:p w14:paraId="57810ADC" w14:textId="4938F57D" w:rsidR="00FA7957" w:rsidRPr="004A5A07" w:rsidRDefault="00FA7957" w:rsidP="00FA7957">
            <w:pPr>
              <w:spacing w:after="0"/>
              <w:jc w:val="left"/>
              <w:rPr>
                <w:sz w:val="18"/>
                <w:szCs w:val="18"/>
              </w:rPr>
            </w:pPr>
            <w:r w:rsidRPr="004A5A07">
              <w:rPr>
                <w:sz w:val="18"/>
                <w:szCs w:val="18"/>
              </w:rPr>
              <w:t>Category</w:t>
            </w:r>
          </w:p>
        </w:tc>
        <w:tc>
          <w:tcPr>
            <w:tcW w:w="978" w:type="dxa"/>
            <w:shd w:val="clear" w:color="auto" w:fill="auto"/>
            <w:tcMar>
              <w:top w:w="100" w:type="dxa"/>
              <w:left w:w="100" w:type="dxa"/>
              <w:bottom w:w="100" w:type="dxa"/>
              <w:right w:w="100" w:type="dxa"/>
            </w:tcMar>
          </w:tcPr>
          <w:p w14:paraId="0C8A6D9F" w14:textId="77777777" w:rsidR="00FA7957" w:rsidRPr="004A5A07" w:rsidRDefault="00EE70C2" w:rsidP="00FA7957">
            <w:pPr>
              <w:spacing w:after="0"/>
              <w:jc w:val="left"/>
              <w:rPr>
                <w:sz w:val="18"/>
                <w:szCs w:val="18"/>
              </w:rPr>
            </w:pPr>
            <w:hyperlink r:id="rId18">
              <w:r w:rsidR="00FA7957" w:rsidRPr="004A5A07">
                <w:rPr>
                  <w:color w:val="1155CC"/>
                  <w:sz w:val="18"/>
                  <w:szCs w:val="18"/>
                  <w:u w:val="single"/>
                </w:rPr>
                <w:t>Cloud Compute</w:t>
              </w:r>
            </w:hyperlink>
            <w:r w:rsidR="00FA7957" w:rsidRPr="004A5A07">
              <w:rPr>
                <w:sz w:val="18"/>
                <w:szCs w:val="18"/>
              </w:rPr>
              <w:t xml:space="preserve"> </w:t>
            </w:r>
          </w:p>
        </w:tc>
        <w:tc>
          <w:tcPr>
            <w:tcW w:w="978" w:type="dxa"/>
            <w:shd w:val="clear" w:color="auto" w:fill="auto"/>
            <w:tcMar>
              <w:top w:w="100" w:type="dxa"/>
              <w:left w:w="100" w:type="dxa"/>
              <w:bottom w:w="100" w:type="dxa"/>
              <w:right w:w="100" w:type="dxa"/>
            </w:tcMar>
          </w:tcPr>
          <w:p w14:paraId="359C1C1E" w14:textId="2FF6F064" w:rsidR="00FA7957" w:rsidRPr="004A5A07" w:rsidRDefault="00EE70C2" w:rsidP="00FA7957">
            <w:pPr>
              <w:spacing w:after="0"/>
              <w:jc w:val="left"/>
              <w:rPr>
                <w:sz w:val="18"/>
                <w:szCs w:val="18"/>
              </w:rPr>
            </w:pPr>
            <w:hyperlink r:id="rId19">
              <w:r w:rsidR="00FA7957" w:rsidRPr="004A5A07">
                <w:rPr>
                  <w:color w:val="1155CC"/>
                  <w:sz w:val="18"/>
                  <w:szCs w:val="18"/>
                  <w:u w:val="single"/>
                </w:rPr>
                <w:t>Cloud Compute</w:t>
              </w:r>
            </w:hyperlink>
          </w:p>
        </w:tc>
        <w:tc>
          <w:tcPr>
            <w:tcW w:w="978" w:type="dxa"/>
          </w:tcPr>
          <w:p w14:paraId="4EE73A52" w14:textId="2A09A0ED" w:rsidR="00FA7957" w:rsidRPr="004A5A07" w:rsidRDefault="00EE70C2" w:rsidP="00FA7957">
            <w:pPr>
              <w:spacing w:after="0"/>
              <w:jc w:val="left"/>
              <w:rPr>
                <w:sz w:val="18"/>
                <w:szCs w:val="18"/>
              </w:rPr>
            </w:pPr>
            <w:hyperlink r:id="rId20">
              <w:r w:rsidR="00FA7957" w:rsidRPr="004A5A07">
                <w:rPr>
                  <w:color w:val="1155CC"/>
                  <w:sz w:val="18"/>
                  <w:szCs w:val="18"/>
                  <w:u w:val="single"/>
                </w:rPr>
                <w:t>Cloud Compute</w:t>
              </w:r>
            </w:hyperlink>
            <w:r w:rsidR="00FA7957" w:rsidRPr="004A5A07">
              <w:rPr>
                <w:sz w:val="18"/>
                <w:szCs w:val="18"/>
              </w:rPr>
              <w:t xml:space="preserve"> </w:t>
            </w:r>
          </w:p>
        </w:tc>
        <w:tc>
          <w:tcPr>
            <w:tcW w:w="978" w:type="dxa"/>
          </w:tcPr>
          <w:p w14:paraId="76419269" w14:textId="260A0C5A" w:rsidR="00FA7957" w:rsidRPr="004A5A07" w:rsidRDefault="00EE70C2" w:rsidP="00FA7957">
            <w:pPr>
              <w:spacing w:after="0"/>
              <w:jc w:val="left"/>
              <w:rPr>
                <w:sz w:val="18"/>
                <w:szCs w:val="18"/>
              </w:rPr>
            </w:pPr>
            <w:hyperlink r:id="rId21">
              <w:r w:rsidR="00FA7957" w:rsidRPr="004A5A07">
                <w:rPr>
                  <w:color w:val="1155CC"/>
                  <w:sz w:val="18"/>
                  <w:szCs w:val="18"/>
                  <w:u w:val="single"/>
                </w:rPr>
                <w:t>Cloud Compute</w:t>
              </w:r>
            </w:hyperlink>
          </w:p>
        </w:tc>
        <w:tc>
          <w:tcPr>
            <w:tcW w:w="978" w:type="dxa"/>
          </w:tcPr>
          <w:p w14:paraId="5F899F17" w14:textId="25BF6EC1" w:rsidR="00FA7957" w:rsidRPr="004A5A07" w:rsidRDefault="00EE70C2" w:rsidP="00FA7957">
            <w:pPr>
              <w:spacing w:after="0"/>
              <w:jc w:val="left"/>
              <w:rPr>
                <w:sz w:val="18"/>
                <w:szCs w:val="18"/>
              </w:rPr>
            </w:pPr>
            <w:hyperlink r:id="rId22">
              <w:r w:rsidR="00FA7957" w:rsidRPr="004A5A07">
                <w:rPr>
                  <w:color w:val="1155CC"/>
                  <w:sz w:val="18"/>
                  <w:szCs w:val="18"/>
                  <w:u w:val="single"/>
                </w:rPr>
                <w:t>Cloud Compute</w:t>
              </w:r>
            </w:hyperlink>
          </w:p>
        </w:tc>
        <w:tc>
          <w:tcPr>
            <w:tcW w:w="978" w:type="dxa"/>
          </w:tcPr>
          <w:p w14:paraId="29472BD8" w14:textId="454FCB19" w:rsidR="00FA7957" w:rsidRPr="004A5A07" w:rsidRDefault="00EE70C2" w:rsidP="00FA7957">
            <w:pPr>
              <w:spacing w:after="0"/>
              <w:jc w:val="left"/>
              <w:rPr>
                <w:sz w:val="18"/>
                <w:szCs w:val="18"/>
              </w:rPr>
            </w:pPr>
            <w:hyperlink r:id="rId23">
              <w:r w:rsidR="00FA7957" w:rsidRPr="004A5A07">
                <w:rPr>
                  <w:color w:val="1155CC"/>
                  <w:sz w:val="18"/>
                  <w:szCs w:val="18"/>
                  <w:u w:val="single"/>
                </w:rPr>
                <w:t>Cloud Compute</w:t>
              </w:r>
            </w:hyperlink>
          </w:p>
        </w:tc>
        <w:tc>
          <w:tcPr>
            <w:tcW w:w="978" w:type="dxa"/>
          </w:tcPr>
          <w:p w14:paraId="6F4CC7BE" w14:textId="5DA0BDF3" w:rsidR="00FA7957" w:rsidRPr="004A5A07" w:rsidRDefault="00EE70C2" w:rsidP="00FA7957">
            <w:pPr>
              <w:spacing w:after="0"/>
              <w:jc w:val="left"/>
              <w:rPr>
                <w:sz w:val="18"/>
                <w:szCs w:val="18"/>
              </w:rPr>
            </w:pPr>
            <w:hyperlink r:id="rId24">
              <w:r w:rsidR="00FA7957" w:rsidRPr="004A5A07">
                <w:rPr>
                  <w:color w:val="1155CC"/>
                  <w:sz w:val="18"/>
                  <w:szCs w:val="18"/>
                  <w:u w:val="single"/>
                </w:rPr>
                <w:t>Cloud Compute</w:t>
              </w:r>
            </w:hyperlink>
            <w:r w:rsidR="00FA7957" w:rsidRPr="004A5A07">
              <w:rPr>
                <w:sz w:val="18"/>
                <w:szCs w:val="18"/>
              </w:rPr>
              <w:t xml:space="preserve"> &amp; </w:t>
            </w:r>
            <w:hyperlink r:id="rId25">
              <w:r w:rsidR="00FA7957" w:rsidRPr="004A5A07">
                <w:rPr>
                  <w:color w:val="1155CC"/>
                  <w:sz w:val="18"/>
                  <w:szCs w:val="18"/>
                  <w:u w:val="single"/>
                </w:rPr>
                <w:t>Cloud Container Compute</w:t>
              </w:r>
            </w:hyperlink>
          </w:p>
        </w:tc>
        <w:tc>
          <w:tcPr>
            <w:tcW w:w="978" w:type="dxa"/>
          </w:tcPr>
          <w:p w14:paraId="4D806BEC" w14:textId="2BDB925F" w:rsidR="00FA7957" w:rsidRPr="004A5A07" w:rsidRDefault="00EE70C2" w:rsidP="00FA7957">
            <w:pPr>
              <w:spacing w:after="0"/>
              <w:jc w:val="left"/>
              <w:rPr>
                <w:sz w:val="18"/>
                <w:szCs w:val="18"/>
              </w:rPr>
            </w:pPr>
            <w:hyperlink r:id="rId26">
              <w:r w:rsidR="00FA7957" w:rsidRPr="004A5A07">
                <w:rPr>
                  <w:color w:val="1155CC"/>
                  <w:sz w:val="18"/>
                  <w:szCs w:val="18"/>
                  <w:u w:val="single"/>
                </w:rPr>
                <w:t>Cloud Compute</w:t>
              </w:r>
            </w:hyperlink>
          </w:p>
        </w:tc>
        <w:tc>
          <w:tcPr>
            <w:tcW w:w="978" w:type="dxa"/>
          </w:tcPr>
          <w:p w14:paraId="3AB48C6C" w14:textId="0A048127" w:rsidR="00FA7957" w:rsidRPr="004A5A07" w:rsidRDefault="00EE70C2" w:rsidP="00FA7957">
            <w:pPr>
              <w:spacing w:after="0"/>
              <w:jc w:val="left"/>
              <w:rPr>
                <w:sz w:val="18"/>
                <w:szCs w:val="18"/>
              </w:rPr>
            </w:pPr>
            <w:hyperlink r:id="rId27">
              <w:r w:rsidR="00FA7957" w:rsidRPr="004A5A07">
                <w:rPr>
                  <w:color w:val="1155CC"/>
                  <w:sz w:val="18"/>
                  <w:szCs w:val="18"/>
                  <w:u w:val="single"/>
                </w:rPr>
                <w:t>Cloud Compute</w:t>
              </w:r>
            </w:hyperlink>
            <w:r w:rsidR="00FA7957" w:rsidRPr="004A5A07">
              <w:rPr>
                <w:sz w:val="18"/>
                <w:szCs w:val="18"/>
              </w:rPr>
              <w:t xml:space="preserve"> </w:t>
            </w:r>
          </w:p>
        </w:tc>
        <w:tc>
          <w:tcPr>
            <w:tcW w:w="979" w:type="dxa"/>
          </w:tcPr>
          <w:p w14:paraId="5BC438F9" w14:textId="5EA7BC88" w:rsidR="00FA7957" w:rsidRPr="004A5A07" w:rsidRDefault="00EE70C2" w:rsidP="00FA7957">
            <w:pPr>
              <w:spacing w:after="0"/>
              <w:jc w:val="left"/>
              <w:rPr>
                <w:sz w:val="18"/>
                <w:szCs w:val="18"/>
              </w:rPr>
            </w:pPr>
            <w:hyperlink r:id="rId28">
              <w:r w:rsidR="00FA7957" w:rsidRPr="004A5A07">
                <w:rPr>
                  <w:color w:val="1155CC"/>
                  <w:sz w:val="18"/>
                  <w:szCs w:val="18"/>
                  <w:u w:val="single"/>
                </w:rPr>
                <w:t>Cloud Compute</w:t>
              </w:r>
            </w:hyperlink>
          </w:p>
        </w:tc>
      </w:tr>
      <w:tr w:rsidR="00FA7957" w:rsidRPr="00FA7957" w14:paraId="7F10399F" w14:textId="11CA9961" w:rsidTr="00690862">
        <w:tc>
          <w:tcPr>
            <w:tcW w:w="993" w:type="dxa"/>
            <w:shd w:val="clear" w:color="auto" w:fill="auto"/>
            <w:tcMar>
              <w:top w:w="100" w:type="dxa"/>
              <w:left w:w="100" w:type="dxa"/>
              <w:bottom w:w="100" w:type="dxa"/>
              <w:right w:w="100" w:type="dxa"/>
            </w:tcMar>
          </w:tcPr>
          <w:p w14:paraId="3E9925C8" w14:textId="43C3F275" w:rsidR="00FA7957" w:rsidRPr="004A5A07" w:rsidRDefault="00FA7957" w:rsidP="00FA7957">
            <w:pPr>
              <w:spacing w:after="0"/>
              <w:jc w:val="left"/>
              <w:rPr>
                <w:sz w:val="18"/>
                <w:szCs w:val="18"/>
              </w:rPr>
            </w:pPr>
            <w:r w:rsidRPr="004A5A07">
              <w:rPr>
                <w:sz w:val="18"/>
                <w:szCs w:val="18"/>
              </w:rPr>
              <w:t>Number of virtual CPU cores</w:t>
            </w:r>
          </w:p>
        </w:tc>
        <w:tc>
          <w:tcPr>
            <w:tcW w:w="978" w:type="dxa"/>
            <w:shd w:val="clear" w:color="auto" w:fill="auto"/>
            <w:tcMar>
              <w:top w:w="100" w:type="dxa"/>
              <w:left w:w="100" w:type="dxa"/>
              <w:bottom w:w="100" w:type="dxa"/>
              <w:right w:w="100" w:type="dxa"/>
            </w:tcMar>
          </w:tcPr>
          <w:p w14:paraId="144B49A4" w14:textId="77777777" w:rsidR="00FA7957" w:rsidRPr="004A5A07" w:rsidRDefault="00FA7957" w:rsidP="00FA7957">
            <w:pPr>
              <w:spacing w:after="0"/>
              <w:jc w:val="left"/>
              <w:rPr>
                <w:sz w:val="18"/>
                <w:szCs w:val="18"/>
              </w:rPr>
            </w:pPr>
            <w:r w:rsidRPr="004A5A07">
              <w:rPr>
                <w:sz w:val="18"/>
                <w:szCs w:val="18"/>
              </w:rPr>
              <w:t>10</w:t>
            </w:r>
          </w:p>
        </w:tc>
        <w:tc>
          <w:tcPr>
            <w:tcW w:w="978" w:type="dxa"/>
            <w:shd w:val="clear" w:color="auto" w:fill="auto"/>
            <w:tcMar>
              <w:top w:w="100" w:type="dxa"/>
              <w:left w:w="100" w:type="dxa"/>
              <w:bottom w:w="100" w:type="dxa"/>
              <w:right w:w="100" w:type="dxa"/>
            </w:tcMar>
          </w:tcPr>
          <w:p w14:paraId="2754E635" w14:textId="2F70E640" w:rsidR="00FA7957" w:rsidRPr="004A5A07" w:rsidRDefault="00FA7957" w:rsidP="00FA7957">
            <w:pPr>
              <w:spacing w:after="0"/>
              <w:jc w:val="left"/>
              <w:rPr>
                <w:sz w:val="18"/>
                <w:szCs w:val="18"/>
              </w:rPr>
            </w:pPr>
            <w:r w:rsidRPr="004A5A07">
              <w:rPr>
                <w:sz w:val="18"/>
                <w:szCs w:val="18"/>
              </w:rPr>
              <w:t>10</w:t>
            </w:r>
          </w:p>
        </w:tc>
        <w:tc>
          <w:tcPr>
            <w:tcW w:w="978" w:type="dxa"/>
          </w:tcPr>
          <w:p w14:paraId="1D4D395F" w14:textId="4E6F655C" w:rsidR="00FA7957" w:rsidRPr="004A5A07" w:rsidRDefault="00FA7957" w:rsidP="00FA7957">
            <w:pPr>
              <w:spacing w:after="0"/>
              <w:jc w:val="left"/>
              <w:rPr>
                <w:sz w:val="18"/>
                <w:szCs w:val="18"/>
              </w:rPr>
            </w:pPr>
            <w:r w:rsidRPr="004A5A07">
              <w:rPr>
                <w:sz w:val="18"/>
                <w:szCs w:val="18"/>
              </w:rPr>
              <w:t>10</w:t>
            </w:r>
          </w:p>
        </w:tc>
        <w:tc>
          <w:tcPr>
            <w:tcW w:w="978" w:type="dxa"/>
          </w:tcPr>
          <w:p w14:paraId="64F80146" w14:textId="6A889383" w:rsidR="00FA7957" w:rsidRPr="004A5A07" w:rsidRDefault="00FA7957" w:rsidP="00FA7957">
            <w:pPr>
              <w:spacing w:after="0"/>
              <w:jc w:val="left"/>
              <w:rPr>
                <w:sz w:val="18"/>
                <w:szCs w:val="18"/>
              </w:rPr>
            </w:pPr>
            <w:r w:rsidRPr="004A5A07">
              <w:rPr>
                <w:sz w:val="18"/>
                <w:szCs w:val="18"/>
              </w:rPr>
              <w:t>3</w:t>
            </w:r>
          </w:p>
        </w:tc>
        <w:tc>
          <w:tcPr>
            <w:tcW w:w="978" w:type="dxa"/>
          </w:tcPr>
          <w:p w14:paraId="1A065F59" w14:textId="3C08A686" w:rsidR="00FA7957" w:rsidRPr="004A5A07" w:rsidRDefault="00FA7957" w:rsidP="00FA7957">
            <w:pPr>
              <w:spacing w:after="0"/>
              <w:jc w:val="left"/>
              <w:rPr>
                <w:sz w:val="18"/>
                <w:szCs w:val="18"/>
              </w:rPr>
            </w:pPr>
            <w:r w:rsidRPr="004A5A07">
              <w:rPr>
                <w:sz w:val="18"/>
                <w:szCs w:val="18"/>
              </w:rPr>
              <w:t>18</w:t>
            </w:r>
          </w:p>
        </w:tc>
        <w:tc>
          <w:tcPr>
            <w:tcW w:w="978" w:type="dxa"/>
          </w:tcPr>
          <w:p w14:paraId="35CCAD88" w14:textId="71EEB5B9" w:rsidR="00FA7957" w:rsidRPr="004A5A07" w:rsidRDefault="00B97DA2" w:rsidP="00FA7957">
            <w:pPr>
              <w:spacing w:after="0"/>
              <w:jc w:val="left"/>
              <w:rPr>
                <w:sz w:val="18"/>
                <w:szCs w:val="18"/>
              </w:rPr>
            </w:pPr>
            <w:r w:rsidRPr="004A5A07">
              <w:rPr>
                <w:sz w:val="18"/>
                <w:szCs w:val="18"/>
              </w:rPr>
              <w:t>10</w:t>
            </w:r>
          </w:p>
        </w:tc>
        <w:tc>
          <w:tcPr>
            <w:tcW w:w="978" w:type="dxa"/>
          </w:tcPr>
          <w:p w14:paraId="2A9DAA46" w14:textId="7AA3FE1F" w:rsidR="00FA7957" w:rsidRPr="004A5A07" w:rsidRDefault="00FA7957" w:rsidP="00FA7957">
            <w:pPr>
              <w:spacing w:after="0"/>
              <w:jc w:val="left"/>
              <w:rPr>
                <w:sz w:val="18"/>
                <w:szCs w:val="18"/>
              </w:rPr>
            </w:pPr>
            <w:r w:rsidRPr="004A5A07">
              <w:rPr>
                <w:sz w:val="18"/>
                <w:szCs w:val="18"/>
              </w:rPr>
              <w:t>18</w:t>
            </w:r>
          </w:p>
        </w:tc>
        <w:tc>
          <w:tcPr>
            <w:tcW w:w="978" w:type="dxa"/>
          </w:tcPr>
          <w:p w14:paraId="23CE9E1E" w14:textId="218B1B8F" w:rsidR="00FA7957" w:rsidRPr="004A5A07" w:rsidRDefault="00FA7957" w:rsidP="00FA7957">
            <w:pPr>
              <w:spacing w:after="0"/>
              <w:jc w:val="left"/>
              <w:rPr>
                <w:sz w:val="18"/>
                <w:szCs w:val="18"/>
              </w:rPr>
            </w:pPr>
            <w:r w:rsidRPr="004A5A07">
              <w:rPr>
                <w:sz w:val="18"/>
                <w:szCs w:val="18"/>
              </w:rPr>
              <w:t>3</w:t>
            </w:r>
          </w:p>
        </w:tc>
        <w:tc>
          <w:tcPr>
            <w:tcW w:w="978" w:type="dxa"/>
          </w:tcPr>
          <w:p w14:paraId="1789442F" w14:textId="69DB69C4" w:rsidR="00FA7957" w:rsidRPr="004A5A07" w:rsidRDefault="00FA7957" w:rsidP="00FA7957">
            <w:pPr>
              <w:spacing w:after="0"/>
              <w:jc w:val="left"/>
              <w:rPr>
                <w:sz w:val="18"/>
                <w:szCs w:val="18"/>
              </w:rPr>
            </w:pPr>
            <w:r w:rsidRPr="004A5A07">
              <w:rPr>
                <w:sz w:val="18"/>
                <w:szCs w:val="18"/>
              </w:rPr>
              <w:t>6</w:t>
            </w:r>
          </w:p>
        </w:tc>
        <w:tc>
          <w:tcPr>
            <w:tcW w:w="979" w:type="dxa"/>
          </w:tcPr>
          <w:p w14:paraId="246AC773" w14:textId="63F8A225" w:rsidR="00FA7957" w:rsidRPr="004A5A07" w:rsidRDefault="00FA7957" w:rsidP="00FA7957">
            <w:pPr>
              <w:spacing w:after="0"/>
              <w:jc w:val="left"/>
              <w:rPr>
                <w:sz w:val="18"/>
                <w:szCs w:val="18"/>
              </w:rPr>
            </w:pPr>
            <w:r w:rsidRPr="004A5A07">
              <w:rPr>
                <w:sz w:val="18"/>
                <w:szCs w:val="18"/>
              </w:rPr>
              <w:t>6</w:t>
            </w:r>
          </w:p>
        </w:tc>
      </w:tr>
      <w:tr w:rsidR="00FA7957" w:rsidRPr="00FA7957" w14:paraId="5C313018" w14:textId="2F725CDF" w:rsidTr="00690862">
        <w:tc>
          <w:tcPr>
            <w:tcW w:w="993" w:type="dxa"/>
            <w:shd w:val="clear" w:color="auto" w:fill="auto"/>
            <w:tcMar>
              <w:top w:w="100" w:type="dxa"/>
              <w:left w:w="100" w:type="dxa"/>
              <w:bottom w:w="100" w:type="dxa"/>
              <w:right w:w="100" w:type="dxa"/>
            </w:tcMar>
          </w:tcPr>
          <w:p w14:paraId="2C7F75B6" w14:textId="4F393FC1" w:rsidR="00FA7957" w:rsidRPr="004A5A07" w:rsidRDefault="00FA7957" w:rsidP="00FA7957">
            <w:pPr>
              <w:spacing w:after="0"/>
              <w:jc w:val="left"/>
              <w:rPr>
                <w:sz w:val="18"/>
                <w:szCs w:val="18"/>
              </w:rPr>
            </w:pPr>
            <w:r w:rsidRPr="004A5A07">
              <w:rPr>
                <w:sz w:val="18"/>
                <w:szCs w:val="18"/>
              </w:rPr>
              <w:t>Total amount of Memory (GB)</w:t>
            </w:r>
          </w:p>
        </w:tc>
        <w:tc>
          <w:tcPr>
            <w:tcW w:w="978" w:type="dxa"/>
            <w:shd w:val="clear" w:color="auto" w:fill="auto"/>
            <w:tcMar>
              <w:top w:w="100" w:type="dxa"/>
              <w:left w:w="100" w:type="dxa"/>
              <w:bottom w:w="100" w:type="dxa"/>
              <w:right w:w="100" w:type="dxa"/>
            </w:tcMar>
          </w:tcPr>
          <w:p w14:paraId="30D37ECA" w14:textId="77777777" w:rsidR="00FA7957" w:rsidRPr="004A5A07" w:rsidRDefault="00FA7957" w:rsidP="00FA7957">
            <w:pPr>
              <w:spacing w:after="0"/>
              <w:jc w:val="left"/>
              <w:rPr>
                <w:sz w:val="18"/>
                <w:szCs w:val="18"/>
              </w:rPr>
            </w:pPr>
            <w:r w:rsidRPr="004A5A07">
              <w:rPr>
                <w:sz w:val="18"/>
                <w:szCs w:val="18"/>
              </w:rPr>
              <w:t>80</w:t>
            </w:r>
          </w:p>
        </w:tc>
        <w:tc>
          <w:tcPr>
            <w:tcW w:w="978" w:type="dxa"/>
            <w:shd w:val="clear" w:color="auto" w:fill="auto"/>
            <w:tcMar>
              <w:top w:w="100" w:type="dxa"/>
              <w:left w:w="100" w:type="dxa"/>
              <w:bottom w:w="100" w:type="dxa"/>
              <w:right w:w="100" w:type="dxa"/>
            </w:tcMar>
          </w:tcPr>
          <w:p w14:paraId="3CB3E3A6" w14:textId="193DE863" w:rsidR="00FA7957" w:rsidRPr="004A5A07" w:rsidRDefault="00FA7957" w:rsidP="00FA7957">
            <w:pPr>
              <w:spacing w:after="0"/>
              <w:jc w:val="left"/>
              <w:rPr>
                <w:sz w:val="18"/>
                <w:szCs w:val="18"/>
              </w:rPr>
            </w:pPr>
            <w:r w:rsidRPr="004A5A07">
              <w:rPr>
                <w:sz w:val="18"/>
                <w:szCs w:val="18"/>
              </w:rPr>
              <w:t>40</w:t>
            </w:r>
          </w:p>
        </w:tc>
        <w:tc>
          <w:tcPr>
            <w:tcW w:w="978" w:type="dxa"/>
          </w:tcPr>
          <w:p w14:paraId="00010604" w14:textId="22905C48" w:rsidR="00FA7957" w:rsidRPr="004A5A07" w:rsidRDefault="00FA7957" w:rsidP="00FA7957">
            <w:pPr>
              <w:spacing w:after="0"/>
              <w:jc w:val="left"/>
              <w:rPr>
                <w:sz w:val="18"/>
                <w:szCs w:val="18"/>
              </w:rPr>
            </w:pPr>
            <w:r w:rsidRPr="004A5A07">
              <w:rPr>
                <w:sz w:val="18"/>
                <w:szCs w:val="18"/>
              </w:rPr>
              <w:t>80</w:t>
            </w:r>
          </w:p>
        </w:tc>
        <w:tc>
          <w:tcPr>
            <w:tcW w:w="978" w:type="dxa"/>
          </w:tcPr>
          <w:p w14:paraId="08396982" w14:textId="148FF8FC" w:rsidR="00FA7957" w:rsidRPr="004A5A07" w:rsidRDefault="00FA7957" w:rsidP="00FA7957">
            <w:pPr>
              <w:spacing w:after="0"/>
              <w:jc w:val="left"/>
              <w:rPr>
                <w:sz w:val="18"/>
                <w:szCs w:val="18"/>
              </w:rPr>
            </w:pPr>
            <w:r w:rsidRPr="004A5A07">
              <w:rPr>
                <w:sz w:val="18"/>
                <w:szCs w:val="18"/>
              </w:rPr>
              <w:t>6</w:t>
            </w:r>
          </w:p>
        </w:tc>
        <w:tc>
          <w:tcPr>
            <w:tcW w:w="978" w:type="dxa"/>
          </w:tcPr>
          <w:p w14:paraId="559C0D0D" w14:textId="32E9364D" w:rsidR="00FA7957" w:rsidRPr="004A5A07" w:rsidRDefault="00FA7957" w:rsidP="00FA7957">
            <w:pPr>
              <w:spacing w:after="0"/>
              <w:jc w:val="left"/>
              <w:rPr>
                <w:sz w:val="18"/>
                <w:szCs w:val="18"/>
              </w:rPr>
            </w:pPr>
            <w:r w:rsidRPr="004A5A07">
              <w:rPr>
                <w:sz w:val="18"/>
                <w:szCs w:val="18"/>
              </w:rPr>
              <w:t>272</w:t>
            </w:r>
          </w:p>
        </w:tc>
        <w:tc>
          <w:tcPr>
            <w:tcW w:w="978" w:type="dxa"/>
          </w:tcPr>
          <w:p w14:paraId="5163060A" w14:textId="056AFE96" w:rsidR="00FA7957" w:rsidRPr="004A5A07" w:rsidRDefault="00B97DA2" w:rsidP="00FA7957">
            <w:pPr>
              <w:spacing w:after="0"/>
              <w:jc w:val="left"/>
              <w:rPr>
                <w:sz w:val="18"/>
                <w:szCs w:val="18"/>
              </w:rPr>
            </w:pPr>
            <w:r w:rsidRPr="004A5A07">
              <w:rPr>
                <w:sz w:val="18"/>
                <w:szCs w:val="18"/>
              </w:rPr>
              <w:t>19</w:t>
            </w:r>
          </w:p>
        </w:tc>
        <w:tc>
          <w:tcPr>
            <w:tcW w:w="978" w:type="dxa"/>
          </w:tcPr>
          <w:p w14:paraId="173EF1FD" w14:textId="0058EC38" w:rsidR="00FA7957" w:rsidRPr="004A5A07" w:rsidRDefault="00FA7957" w:rsidP="00FA7957">
            <w:pPr>
              <w:spacing w:after="0"/>
              <w:jc w:val="left"/>
              <w:rPr>
                <w:sz w:val="18"/>
                <w:szCs w:val="18"/>
              </w:rPr>
            </w:pPr>
            <w:r w:rsidRPr="004A5A07">
              <w:rPr>
                <w:sz w:val="18"/>
                <w:szCs w:val="18"/>
              </w:rPr>
              <w:t>36</w:t>
            </w:r>
          </w:p>
        </w:tc>
        <w:tc>
          <w:tcPr>
            <w:tcW w:w="978" w:type="dxa"/>
          </w:tcPr>
          <w:p w14:paraId="091EFB9C" w14:textId="70AD0225" w:rsidR="00FA7957" w:rsidRPr="004A5A07" w:rsidRDefault="00FA7957" w:rsidP="00FA7957">
            <w:pPr>
              <w:spacing w:after="0"/>
              <w:jc w:val="left"/>
              <w:rPr>
                <w:sz w:val="18"/>
                <w:szCs w:val="18"/>
              </w:rPr>
            </w:pPr>
            <w:r w:rsidRPr="004A5A07">
              <w:rPr>
                <w:sz w:val="18"/>
                <w:szCs w:val="18"/>
              </w:rPr>
              <w:t>12</w:t>
            </w:r>
          </w:p>
        </w:tc>
        <w:tc>
          <w:tcPr>
            <w:tcW w:w="978" w:type="dxa"/>
          </w:tcPr>
          <w:p w14:paraId="719E2D4D" w14:textId="217571AD" w:rsidR="00FA7957" w:rsidRPr="004A5A07" w:rsidRDefault="00FA7957" w:rsidP="00FA7957">
            <w:pPr>
              <w:spacing w:after="0"/>
              <w:jc w:val="left"/>
              <w:rPr>
                <w:sz w:val="18"/>
                <w:szCs w:val="18"/>
              </w:rPr>
            </w:pPr>
            <w:r w:rsidRPr="004A5A07">
              <w:rPr>
                <w:sz w:val="18"/>
                <w:szCs w:val="18"/>
              </w:rPr>
              <w:t>72</w:t>
            </w:r>
          </w:p>
        </w:tc>
        <w:tc>
          <w:tcPr>
            <w:tcW w:w="979" w:type="dxa"/>
          </w:tcPr>
          <w:p w14:paraId="5161A589" w14:textId="6A803DE0" w:rsidR="00FA7957" w:rsidRPr="004A5A07" w:rsidRDefault="00B97DA2" w:rsidP="00FA7957">
            <w:pPr>
              <w:spacing w:after="0"/>
              <w:jc w:val="left"/>
              <w:rPr>
                <w:sz w:val="18"/>
                <w:szCs w:val="18"/>
              </w:rPr>
            </w:pPr>
            <w:r w:rsidRPr="004A5A07">
              <w:rPr>
                <w:sz w:val="18"/>
                <w:szCs w:val="18"/>
              </w:rPr>
              <w:t>24</w:t>
            </w:r>
          </w:p>
        </w:tc>
      </w:tr>
      <w:tr w:rsidR="00FA7957" w:rsidRPr="00FA7957" w14:paraId="019789BE" w14:textId="2A186066" w:rsidTr="00690862">
        <w:tc>
          <w:tcPr>
            <w:tcW w:w="993" w:type="dxa"/>
            <w:shd w:val="clear" w:color="auto" w:fill="auto"/>
            <w:tcMar>
              <w:top w:w="100" w:type="dxa"/>
              <w:left w:w="100" w:type="dxa"/>
              <w:bottom w:w="100" w:type="dxa"/>
              <w:right w:w="100" w:type="dxa"/>
            </w:tcMar>
          </w:tcPr>
          <w:p w14:paraId="660EEBEC" w14:textId="624FB35E" w:rsidR="00FA7957" w:rsidRPr="004A5A07" w:rsidRDefault="00FA7957" w:rsidP="00FA7957">
            <w:pPr>
              <w:spacing w:after="0"/>
              <w:jc w:val="left"/>
              <w:rPr>
                <w:sz w:val="18"/>
                <w:szCs w:val="18"/>
              </w:rPr>
            </w:pPr>
            <w:r w:rsidRPr="004A5A07">
              <w:rPr>
                <w:sz w:val="18"/>
                <w:szCs w:val="18"/>
              </w:rPr>
              <w:t xml:space="preserve">Local disk </w:t>
            </w:r>
            <w:r w:rsidRPr="004A5A07">
              <w:rPr>
                <w:sz w:val="18"/>
                <w:szCs w:val="18"/>
              </w:rPr>
              <w:lastRenderedPageBreak/>
              <w:t>(GB)</w:t>
            </w:r>
          </w:p>
        </w:tc>
        <w:tc>
          <w:tcPr>
            <w:tcW w:w="978" w:type="dxa"/>
            <w:shd w:val="clear" w:color="auto" w:fill="auto"/>
            <w:tcMar>
              <w:top w:w="100" w:type="dxa"/>
              <w:left w:w="100" w:type="dxa"/>
              <w:bottom w:w="100" w:type="dxa"/>
              <w:right w:w="100" w:type="dxa"/>
            </w:tcMar>
          </w:tcPr>
          <w:p w14:paraId="657DA974" w14:textId="77777777" w:rsidR="00FA7957" w:rsidRPr="004A5A07" w:rsidRDefault="00FA7957" w:rsidP="00FA7957">
            <w:pPr>
              <w:spacing w:after="0"/>
              <w:jc w:val="left"/>
              <w:rPr>
                <w:sz w:val="18"/>
                <w:szCs w:val="18"/>
              </w:rPr>
            </w:pPr>
            <w:r w:rsidRPr="004A5A07">
              <w:rPr>
                <w:sz w:val="18"/>
                <w:szCs w:val="18"/>
              </w:rPr>
              <w:lastRenderedPageBreak/>
              <w:t>900</w:t>
            </w:r>
          </w:p>
        </w:tc>
        <w:tc>
          <w:tcPr>
            <w:tcW w:w="978" w:type="dxa"/>
            <w:shd w:val="clear" w:color="auto" w:fill="auto"/>
            <w:tcMar>
              <w:top w:w="100" w:type="dxa"/>
              <w:left w:w="100" w:type="dxa"/>
              <w:bottom w:w="100" w:type="dxa"/>
              <w:right w:w="100" w:type="dxa"/>
            </w:tcMar>
          </w:tcPr>
          <w:p w14:paraId="20DAB67C" w14:textId="7708EE36" w:rsidR="00FA7957" w:rsidRPr="004A5A07" w:rsidRDefault="00FA7957" w:rsidP="00FA7957">
            <w:pPr>
              <w:spacing w:after="0"/>
              <w:jc w:val="left"/>
              <w:rPr>
                <w:sz w:val="18"/>
                <w:szCs w:val="18"/>
              </w:rPr>
            </w:pPr>
            <w:r w:rsidRPr="004A5A07">
              <w:rPr>
                <w:sz w:val="18"/>
                <w:szCs w:val="18"/>
              </w:rPr>
              <w:t>500</w:t>
            </w:r>
          </w:p>
        </w:tc>
        <w:tc>
          <w:tcPr>
            <w:tcW w:w="978" w:type="dxa"/>
          </w:tcPr>
          <w:p w14:paraId="24C24B8D" w14:textId="1730F22D" w:rsidR="00FA7957" w:rsidRPr="004A5A07" w:rsidRDefault="00FA7957" w:rsidP="00FA7957">
            <w:pPr>
              <w:spacing w:after="0"/>
              <w:jc w:val="left"/>
              <w:rPr>
                <w:sz w:val="18"/>
                <w:szCs w:val="18"/>
              </w:rPr>
            </w:pPr>
            <w:r w:rsidRPr="004A5A07">
              <w:rPr>
                <w:sz w:val="18"/>
                <w:szCs w:val="18"/>
              </w:rPr>
              <w:t>900</w:t>
            </w:r>
          </w:p>
        </w:tc>
        <w:tc>
          <w:tcPr>
            <w:tcW w:w="978" w:type="dxa"/>
          </w:tcPr>
          <w:p w14:paraId="6D027E04" w14:textId="724FA0B4" w:rsidR="00FA7957" w:rsidRPr="004A5A07" w:rsidRDefault="00FA7957" w:rsidP="00FA7957">
            <w:pPr>
              <w:spacing w:after="0"/>
              <w:jc w:val="left"/>
              <w:rPr>
                <w:sz w:val="18"/>
                <w:szCs w:val="18"/>
              </w:rPr>
            </w:pPr>
            <w:r w:rsidRPr="004A5A07">
              <w:rPr>
                <w:sz w:val="18"/>
                <w:szCs w:val="18"/>
              </w:rPr>
              <w:t>500</w:t>
            </w:r>
          </w:p>
        </w:tc>
        <w:tc>
          <w:tcPr>
            <w:tcW w:w="978" w:type="dxa"/>
          </w:tcPr>
          <w:p w14:paraId="42CCD83B" w14:textId="37D4F6B9" w:rsidR="00FA7957" w:rsidRPr="004A5A07" w:rsidRDefault="00FA7957" w:rsidP="00FA7957">
            <w:pPr>
              <w:spacing w:after="0"/>
              <w:jc w:val="left"/>
              <w:rPr>
                <w:sz w:val="18"/>
                <w:szCs w:val="18"/>
              </w:rPr>
            </w:pPr>
            <w:r w:rsidRPr="004A5A07">
              <w:rPr>
                <w:sz w:val="18"/>
                <w:szCs w:val="18"/>
              </w:rPr>
              <w:t>1700</w:t>
            </w:r>
          </w:p>
        </w:tc>
        <w:tc>
          <w:tcPr>
            <w:tcW w:w="978" w:type="dxa"/>
          </w:tcPr>
          <w:p w14:paraId="0FEF19A5" w14:textId="1D83D54E" w:rsidR="00FA7957" w:rsidRPr="004A5A07" w:rsidRDefault="00B97DA2" w:rsidP="00FA7957">
            <w:pPr>
              <w:spacing w:after="0"/>
              <w:jc w:val="left"/>
              <w:rPr>
                <w:sz w:val="18"/>
                <w:szCs w:val="18"/>
              </w:rPr>
            </w:pPr>
            <w:r w:rsidRPr="004A5A07">
              <w:rPr>
                <w:sz w:val="18"/>
                <w:szCs w:val="18"/>
              </w:rPr>
              <w:t>260</w:t>
            </w:r>
          </w:p>
        </w:tc>
        <w:tc>
          <w:tcPr>
            <w:tcW w:w="978" w:type="dxa"/>
          </w:tcPr>
          <w:p w14:paraId="0963CFC6" w14:textId="6E6AC4AE" w:rsidR="00FA7957" w:rsidRPr="004A5A07" w:rsidRDefault="00FA7957" w:rsidP="00FA7957">
            <w:pPr>
              <w:spacing w:after="0"/>
              <w:jc w:val="left"/>
              <w:rPr>
                <w:sz w:val="18"/>
                <w:szCs w:val="18"/>
              </w:rPr>
            </w:pPr>
            <w:r w:rsidRPr="004A5A07">
              <w:rPr>
                <w:sz w:val="18"/>
                <w:szCs w:val="18"/>
              </w:rPr>
              <w:t>50</w:t>
            </w:r>
          </w:p>
        </w:tc>
        <w:tc>
          <w:tcPr>
            <w:tcW w:w="978" w:type="dxa"/>
          </w:tcPr>
          <w:p w14:paraId="1F4C400A" w14:textId="383828AF" w:rsidR="00FA7957" w:rsidRPr="004A5A07" w:rsidRDefault="00FA7957" w:rsidP="00FA7957">
            <w:pPr>
              <w:spacing w:after="0"/>
              <w:jc w:val="left"/>
              <w:rPr>
                <w:sz w:val="18"/>
                <w:szCs w:val="18"/>
              </w:rPr>
            </w:pPr>
            <w:r w:rsidRPr="004A5A07">
              <w:rPr>
                <w:sz w:val="18"/>
                <w:szCs w:val="18"/>
              </w:rPr>
              <w:t>600</w:t>
            </w:r>
          </w:p>
        </w:tc>
        <w:tc>
          <w:tcPr>
            <w:tcW w:w="978" w:type="dxa"/>
          </w:tcPr>
          <w:p w14:paraId="23C4EB0D" w14:textId="3196BBC9" w:rsidR="00FA7957" w:rsidRPr="004A5A07" w:rsidRDefault="00FA7957" w:rsidP="00FA7957">
            <w:pPr>
              <w:spacing w:after="0"/>
              <w:jc w:val="left"/>
              <w:rPr>
                <w:sz w:val="18"/>
                <w:szCs w:val="18"/>
              </w:rPr>
            </w:pPr>
            <w:r w:rsidRPr="004A5A07">
              <w:rPr>
                <w:sz w:val="18"/>
                <w:szCs w:val="18"/>
              </w:rPr>
              <w:t>500</w:t>
            </w:r>
          </w:p>
        </w:tc>
        <w:tc>
          <w:tcPr>
            <w:tcW w:w="979" w:type="dxa"/>
          </w:tcPr>
          <w:p w14:paraId="0436E48D" w14:textId="178FBF17" w:rsidR="00FA7957" w:rsidRPr="004A5A07" w:rsidRDefault="00FA7957" w:rsidP="00FA7957">
            <w:pPr>
              <w:spacing w:after="0"/>
              <w:jc w:val="left"/>
              <w:rPr>
                <w:sz w:val="18"/>
                <w:szCs w:val="18"/>
              </w:rPr>
            </w:pPr>
            <w:r w:rsidRPr="004A5A07">
              <w:rPr>
                <w:sz w:val="18"/>
                <w:szCs w:val="18"/>
              </w:rPr>
              <w:t>500</w:t>
            </w:r>
          </w:p>
        </w:tc>
      </w:tr>
      <w:tr w:rsidR="00FA7957" w:rsidRPr="00FA7957" w14:paraId="27F38FB6" w14:textId="48EAB13D" w:rsidTr="00690862">
        <w:tc>
          <w:tcPr>
            <w:tcW w:w="993" w:type="dxa"/>
            <w:shd w:val="clear" w:color="auto" w:fill="auto"/>
            <w:tcMar>
              <w:top w:w="100" w:type="dxa"/>
              <w:left w:w="100" w:type="dxa"/>
              <w:bottom w:w="100" w:type="dxa"/>
              <w:right w:w="100" w:type="dxa"/>
            </w:tcMar>
          </w:tcPr>
          <w:p w14:paraId="2D8BF792" w14:textId="49AE6E22" w:rsidR="00FA7957" w:rsidRPr="004A5A07" w:rsidRDefault="00FA7957" w:rsidP="00FA7957">
            <w:pPr>
              <w:spacing w:after="0"/>
              <w:jc w:val="left"/>
              <w:rPr>
                <w:sz w:val="18"/>
                <w:szCs w:val="18"/>
              </w:rPr>
            </w:pPr>
            <w:r w:rsidRPr="004A5A07">
              <w:rPr>
                <w:sz w:val="18"/>
                <w:szCs w:val="18"/>
              </w:rPr>
              <w:lastRenderedPageBreak/>
              <w:t>Public IP addresses</w:t>
            </w:r>
          </w:p>
        </w:tc>
        <w:tc>
          <w:tcPr>
            <w:tcW w:w="978" w:type="dxa"/>
            <w:shd w:val="clear" w:color="auto" w:fill="auto"/>
            <w:tcMar>
              <w:top w:w="100" w:type="dxa"/>
              <w:left w:w="100" w:type="dxa"/>
              <w:bottom w:w="100" w:type="dxa"/>
              <w:right w:w="100" w:type="dxa"/>
            </w:tcMar>
          </w:tcPr>
          <w:p w14:paraId="6DA562B2" w14:textId="77777777" w:rsidR="00FA7957" w:rsidRPr="004A5A07" w:rsidRDefault="00FA7957" w:rsidP="00FA7957">
            <w:pPr>
              <w:spacing w:after="0"/>
              <w:jc w:val="left"/>
              <w:rPr>
                <w:sz w:val="18"/>
                <w:szCs w:val="18"/>
              </w:rPr>
            </w:pPr>
            <w:r w:rsidRPr="004A5A07">
              <w:rPr>
                <w:sz w:val="18"/>
                <w:szCs w:val="18"/>
              </w:rPr>
              <w:t>5</w:t>
            </w:r>
          </w:p>
        </w:tc>
        <w:tc>
          <w:tcPr>
            <w:tcW w:w="978" w:type="dxa"/>
            <w:shd w:val="clear" w:color="auto" w:fill="auto"/>
            <w:tcMar>
              <w:top w:w="100" w:type="dxa"/>
              <w:left w:w="100" w:type="dxa"/>
              <w:bottom w:w="100" w:type="dxa"/>
              <w:right w:w="100" w:type="dxa"/>
            </w:tcMar>
          </w:tcPr>
          <w:p w14:paraId="7CC83704" w14:textId="2CA77C10" w:rsidR="00FA7957" w:rsidRPr="004A5A07" w:rsidRDefault="00FA7957" w:rsidP="00FA7957">
            <w:pPr>
              <w:spacing w:after="0"/>
              <w:jc w:val="left"/>
              <w:rPr>
                <w:sz w:val="18"/>
                <w:szCs w:val="18"/>
              </w:rPr>
            </w:pPr>
            <w:r w:rsidRPr="004A5A07">
              <w:rPr>
                <w:sz w:val="18"/>
                <w:szCs w:val="18"/>
              </w:rPr>
              <w:t>5</w:t>
            </w:r>
          </w:p>
        </w:tc>
        <w:tc>
          <w:tcPr>
            <w:tcW w:w="978" w:type="dxa"/>
          </w:tcPr>
          <w:p w14:paraId="3FFD9E61" w14:textId="4BC76EC8" w:rsidR="00FA7957" w:rsidRPr="004A5A07" w:rsidRDefault="00FA7957" w:rsidP="00FA7957">
            <w:pPr>
              <w:spacing w:after="0"/>
              <w:jc w:val="left"/>
              <w:rPr>
                <w:sz w:val="18"/>
                <w:szCs w:val="18"/>
              </w:rPr>
            </w:pPr>
            <w:r w:rsidRPr="004A5A07">
              <w:rPr>
                <w:sz w:val="18"/>
                <w:szCs w:val="18"/>
              </w:rPr>
              <w:t>5</w:t>
            </w:r>
          </w:p>
        </w:tc>
        <w:tc>
          <w:tcPr>
            <w:tcW w:w="978" w:type="dxa"/>
          </w:tcPr>
          <w:p w14:paraId="5FF90D8B" w14:textId="73D50C54" w:rsidR="00FA7957" w:rsidRPr="004A5A07" w:rsidRDefault="00FA7957" w:rsidP="00FA7957">
            <w:pPr>
              <w:spacing w:after="0"/>
              <w:jc w:val="left"/>
              <w:rPr>
                <w:sz w:val="18"/>
                <w:szCs w:val="18"/>
              </w:rPr>
            </w:pPr>
            <w:r w:rsidRPr="004A5A07">
              <w:rPr>
                <w:sz w:val="18"/>
                <w:szCs w:val="18"/>
              </w:rPr>
              <w:t>3</w:t>
            </w:r>
          </w:p>
        </w:tc>
        <w:tc>
          <w:tcPr>
            <w:tcW w:w="978" w:type="dxa"/>
          </w:tcPr>
          <w:p w14:paraId="023B60B5" w14:textId="0009ED61" w:rsidR="00FA7957" w:rsidRPr="004A5A07" w:rsidRDefault="00FA7957" w:rsidP="00FA7957">
            <w:pPr>
              <w:spacing w:after="0"/>
              <w:jc w:val="left"/>
              <w:rPr>
                <w:sz w:val="18"/>
                <w:szCs w:val="18"/>
              </w:rPr>
            </w:pPr>
            <w:r w:rsidRPr="004A5A07">
              <w:rPr>
                <w:sz w:val="18"/>
                <w:szCs w:val="18"/>
              </w:rPr>
              <w:t>9</w:t>
            </w:r>
          </w:p>
        </w:tc>
        <w:tc>
          <w:tcPr>
            <w:tcW w:w="978" w:type="dxa"/>
          </w:tcPr>
          <w:p w14:paraId="369A02F5" w14:textId="0F603BBF" w:rsidR="00FA7957" w:rsidRPr="004A5A07" w:rsidRDefault="00FA7957" w:rsidP="00FA7957">
            <w:pPr>
              <w:spacing w:after="0"/>
              <w:jc w:val="left"/>
              <w:rPr>
                <w:sz w:val="18"/>
                <w:szCs w:val="18"/>
              </w:rPr>
            </w:pPr>
            <w:r w:rsidRPr="004A5A07">
              <w:rPr>
                <w:sz w:val="18"/>
                <w:szCs w:val="18"/>
              </w:rPr>
              <w:t>2</w:t>
            </w:r>
          </w:p>
        </w:tc>
        <w:tc>
          <w:tcPr>
            <w:tcW w:w="978" w:type="dxa"/>
          </w:tcPr>
          <w:p w14:paraId="46B11016" w14:textId="11084B17" w:rsidR="00FA7957" w:rsidRPr="004A5A07" w:rsidRDefault="00FA7957" w:rsidP="00FA7957">
            <w:pPr>
              <w:spacing w:after="0"/>
              <w:jc w:val="left"/>
              <w:rPr>
                <w:sz w:val="18"/>
                <w:szCs w:val="18"/>
              </w:rPr>
            </w:pPr>
            <w:r w:rsidRPr="004A5A07">
              <w:rPr>
                <w:sz w:val="18"/>
                <w:szCs w:val="18"/>
              </w:rPr>
              <w:t>2</w:t>
            </w:r>
          </w:p>
        </w:tc>
        <w:tc>
          <w:tcPr>
            <w:tcW w:w="978" w:type="dxa"/>
          </w:tcPr>
          <w:p w14:paraId="2C67C2A0" w14:textId="5D7D9EB5" w:rsidR="00FA7957" w:rsidRPr="004A5A07" w:rsidRDefault="00FA7957" w:rsidP="00FA7957">
            <w:pPr>
              <w:spacing w:after="0"/>
              <w:jc w:val="left"/>
              <w:rPr>
                <w:sz w:val="18"/>
                <w:szCs w:val="18"/>
              </w:rPr>
            </w:pPr>
            <w:r w:rsidRPr="004A5A07">
              <w:rPr>
                <w:sz w:val="18"/>
                <w:szCs w:val="18"/>
              </w:rPr>
              <w:t>1</w:t>
            </w:r>
          </w:p>
        </w:tc>
        <w:tc>
          <w:tcPr>
            <w:tcW w:w="978" w:type="dxa"/>
          </w:tcPr>
          <w:p w14:paraId="68572500" w14:textId="2F7B3D69" w:rsidR="00FA7957" w:rsidRPr="004A5A07" w:rsidRDefault="00B97DA2" w:rsidP="00FA7957">
            <w:pPr>
              <w:spacing w:after="0"/>
              <w:jc w:val="left"/>
              <w:rPr>
                <w:sz w:val="18"/>
                <w:szCs w:val="18"/>
              </w:rPr>
            </w:pPr>
            <w:r w:rsidRPr="004A5A07">
              <w:rPr>
                <w:sz w:val="18"/>
                <w:szCs w:val="18"/>
              </w:rPr>
              <w:t>3</w:t>
            </w:r>
          </w:p>
        </w:tc>
        <w:tc>
          <w:tcPr>
            <w:tcW w:w="979" w:type="dxa"/>
          </w:tcPr>
          <w:p w14:paraId="6E9E5DF4" w14:textId="76AFFB8C" w:rsidR="00FA7957" w:rsidRPr="004A5A07" w:rsidRDefault="00B97DA2" w:rsidP="00FA7957">
            <w:pPr>
              <w:spacing w:after="0"/>
              <w:jc w:val="left"/>
              <w:rPr>
                <w:sz w:val="18"/>
                <w:szCs w:val="18"/>
              </w:rPr>
            </w:pPr>
            <w:r w:rsidRPr="004A5A07">
              <w:rPr>
                <w:sz w:val="18"/>
                <w:szCs w:val="18"/>
              </w:rPr>
              <w:t>3</w:t>
            </w:r>
          </w:p>
        </w:tc>
      </w:tr>
      <w:tr w:rsidR="00FA7957" w:rsidRPr="00FA7957" w14:paraId="35D50DB4" w14:textId="4C874FF4" w:rsidTr="00690862">
        <w:tc>
          <w:tcPr>
            <w:tcW w:w="993" w:type="dxa"/>
            <w:shd w:val="clear" w:color="auto" w:fill="auto"/>
            <w:tcMar>
              <w:top w:w="100" w:type="dxa"/>
              <w:left w:w="100" w:type="dxa"/>
              <w:bottom w:w="100" w:type="dxa"/>
              <w:right w:w="100" w:type="dxa"/>
            </w:tcMar>
          </w:tcPr>
          <w:p w14:paraId="45DD0B50" w14:textId="022C5A32" w:rsidR="00FA7957" w:rsidRPr="004A5A07" w:rsidRDefault="00FA7957" w:rsidP="00FA7957">
            <w:pPr>
              <w:spacing w:after="0"/>
              <w:jc w:val="left"/>
              <w:rPr>
                <w:sz w:val="18"/>
                <w:szCs w:val="18"/>
              </w:rPr>
            </w:pPr>
            <w:r w:rsidRPr="004A5A07">
              <w:rPr>
                <w:sz w:val="18"/>
                <w:szCs w:val="18"/>
              </w:rPr>
              <w:t>Allocation type</w:t>
            </w:r>
          </w:p>
        </w:tc>
        <w:tc>
          <w:tcPr>
            <w:tcW w:w="978" w:type="dxa"/>
            <w:shd w:val="clear" w:color="auto" w:fill="auto"/>
            <w:tcMar>
              <w:top w:w="100" w:type="dxa"/>
              <w:left w:w="100" w:type="dxa"/>
              <w:bottom w:w="100" w:type="dxa"/>
              <w:right w:w="100" w:type="dxa"/>
            </w:tcMar>
          </w:tcPr>
          <w:p w14:paraId="4C07DFDE" w14:textId="77777777" w:rsidR="00FA7957" w:rsidRPr="004A5A07" w:rsidRDefault="00FA7957" w:rsidP="00FA7957">
            <w:pPr>
              <w:spacing w:after="0"/>
              <w:jc w:val="left"/>
              <w:rPr>
                <w:sz w:val="18"/>
                <w:szCs w:val="18"/>
              </w:rPr>
            </w:pPr>
            <w:r w:rsidRPr="004A5A07">
              <w:rPr>
                <w:sz w:val="18"/>
                <w:szCs w:val="18"/>
              </w:rPr>
              <w:t>Pledged</w:t>
            </w:r>
            <w:r w:rsidRPr="004A5A07">
              <w:rPr>
                <w:sz w:val="18"/>
                <w:szCs w:val="18"/>
                <w:vertAlign w:val="superscript"/>
              </w:rPr>
              <w:footnoteReference w:id="1"/>
            </w:r>
          </w:p>
        </w:tc>
        <w:tc>
          <w:tcPr>
            <w:tcW w:w="978" w:type="dxa"/>
            <w:shd w:val="clear" w:color="auto" w:fill="auto"/>
            <w:tcMar>
              <w:top w:w="100" w:type="dxa"/>
              <w:left w:w="100" w:type="dxa"/>
              <w:bottom w:w="100" w:type="dxa"/>
              <w:right w:w="100" w:type="dxa"/>
            </w:tcMar>
          </w:tcPr>
          <w:p w14:paraId="65241F63" w14:textId="797CEF7D" w:rsidR="00FA7957" w:rsidRPr="004A5A07" w:rsidRDefault="00FA7957" w:rsidP="00FA7957">
            <w:pPr>
              <w:spacing w:after="0"/>
              <w:jc w:val="left"/>
              <w:rPr>
                <w:sz w:val="18"/>
                <w:szCs w:val="18"/>
              </w:rPr>
            </w:pPr>
            <w:r w:rsidRPr="004A5A07">
              <w:rPr>
                <w:sz w:val="18"/>
                <w:szCs w:val="18"/>
              </w:rPr>
              <w:t>Pledged</w:t>
            </w:r>
          </w:p>
        </w:tc>
        <w:tc>
          <w:tcPr>
            <w:tcW w:w="978" w:type="dxa"/>
          </w:tcPr>
          <w:p w14:paraId="620BBAFB" w14:textId="3CF1BE9B" w:rsidR="00FA7957" w:rsidRPr="004A5A07" w:rsidRDefault="00FA7957" w:rsidP="00FA7957">
            <w:pPr>
              <w:spacing w:after="0"/>
              <w:jc w:val="left"/>
              <w:rPr>
                <w:sz w:val="18"/>
                <w:szCs w:val="18"/>
              </w:rPr>
            </w:pPr>
            <w:r w:rsidRPr="004A5A07">
              <w:rPr>
                <w:sz w:val="18"/>
                <w:szCs w:val="18"/>
              </w:rPr>
              <w:t>Pledged</w:t>
            </w:r>
          </w:p>
        </w:tc>
        <w:tc>
          <w:tcPr>
            <w:tcW w:w="978" w:type="dxa"/>
          </w:tcPr>
          <w:p w14:paraId="64A12524" w14:textId="48FC80D3" w:rsidR="00FA7957" w:rsidRPr="004A5A07" w:rsidRDefault="00FA7957" w:rsidP="00FA7957">
            <w:pPr>
              <w:spacing w:after="0"/>
              <w:jc w:val="left"/>
              <w:rPr>
                <w:sz w:val="18"/>
                <w:szCs w:val="18"/>
              </w:rPr>
            </w:pPr>
            <w:r w:rsidRPr="004A5A07">
              <w:rPr>
                <w:sz w:val="18"/>
                <w:szCs w:val="18"/>
              </w:rPr>
              <w:t>Pledged</w:t>
            </w:r>
          </w:p>
        </w:tc>
        <w:tc>
          <w:tcPr>
            <w:tcW w:w="978" w:type="dxa"/>
          </w:tcPr>
          <w:p w14:paraId="17A5B863" w14:textId="048EED4D" w:rsidR="00FA7957" w:rsidRPr="004A5A07" w:rsidRDefault="00FA7957" w:rsidP="00FA7957">
            <w:pPr>
              <w:spacing w:after="0"/>
              <w:jc w:val="left"/>
              <w:rPr>
                <w:sz w:val="18"/>
                <w:szCs w:val="18"/>
              </w:rPr>
            </w:pPr>
            <w:r w:rsidRPr="004A5A07">
              <w:rPr>
                <w:sz w:val="18"/>
                <w:szCs w:val="18"/>
              </w:rPr>
              <w:t>Pledged</w:t>
            </w:r>
          </w:p>
        </w:tc>
        <w:tc>
          <w:tcPr>
            <w:tcW w:w="978" w:type="dxa"/>
          </w:tcPr>
          <w:p w14:paraId="6461FB44" w14:textId="3F3237AE" w:rsidR="00FA7957" w:rsidRPr="004A5A07" w:rsidRDefault="00FA7957" w:rsidP="00FA7957">
            <w:pPr>
              <w:spacing w:after="0"/>
              <w:jc w:val="left"/>
              <w:rPr>
                <w:sz w:val="18"/>
                <w:szCs w:val="18"/>
              </w:rPr>
            </w:pPr>
            <w:r w:rsidRPr="004A5A07">
              <w:rPr>
                <w:sz w:val="18"/>
                <w:szCs w:val="18"/>
              </w:rPr>
              <w:t>Pledged</w:t>
            </w:r>
          </w:p>
        </w:tc>
        <w:tc>
          <w:tcPr>
            <w:tcW w:w="978" w:type="dxa"/>
          </w:tcPr>
          <w:p w14:paraId="00F02BF3" w14:textId="1F0FE0DD" w:rsidR="00FA7957" w:rsidRPr="004A5A07" w:rsidRDefault="00FA7957" w:rsidP="00FA7957">
            <w:pPr>
              <w:spacing w:after="0"/>
              <w:jc w:val="left"/>
              <w:rPr>
                <w:sz w:val="18"/>
                <w:szCs w:val="18"/>
              </w:rPr>
            </w:pPr>
            <w:r w:rsidRPr="004A5A07">
              <w:rPr>
                <w:sz w:val="18"/>
                <w:szCs w:val="18"/>
              </w:rPr>
              <w:t>Pledged</w:t>
            </w:r>
          </w:p>
        </w:tc>
        <w:tc>
          <w:tcPr>
            <w:tcW w:w="978" w:type="dxa"/>
          </w:tcPr>
          <w:p w14:paraId="222BCA36" w14:textId="373E7D7D" w:rsidR="00FA7957" w:rsidRPr="004A5A07" w:rsidRDefault="00FA7957" w:rsidP="00FA7957">
            <w:pPr>
              <w:spacing w:after="0"/>
              <w:jc w:val="left"/>
              <w:rPr>
                <w:sz w:val="18"/>
                <w:szCs w:val="18"/>
              </w:rPr>
            </w:pPr>
            <w:r w:rsidRPr="004A5A07">
              <w:rPr>
                <w:sz w:val="18"/>
                <w:szCs w:val="18"/>
              </w:rPr>
              <w:t>Pledged</w:t>
            </w:r>
          </w:p>
        </w:tc>
        <w:tc>
          <w:tcPr>
            <w:tcW w:w="978" w:type="dxa"/>
          </w:tcPr>
          <w:p w14:paraId="35B9810B" w14:textId="161BBEF1" w:rsidR="00FA7957" w:rsidRPr="004A5A07" w:rsidRDefault="00FA7957" w:rsidP="00FA7957">
            <w:pPr>
              <w:spacing w:after="0"/>
              <w:jc w:val="left"/>
              <w:rPr>
                <w:sz w:val="18"/>
                <w:szCs w:val="18"/>
              </w:rPr>
            </w:pPr>
            <w:r w:rsidRPr="004A5A07">
              <w:rPr>
                <w:sz w:val="18"/>
                <w:szCs w:val="18"/>
              </w:rPr>
              <w:t>Pledged</w:t>
            </w:r>
          </w:p>
        </w:tc>
        <w:tc>
          <w:tcPr>
            <w:tcW w:w="979" w:type="dxa"/>
          </w:tcPr>
          <w:p w14:paraId="7E131648" w14:textId="77931799" w:rsidR="00FA7957" w:rsidRPr="004A5A07" w:rsidRDefault="00FA7957" w:rsidP="00FA7957">
            <w:pPr>
              <w:spacing w:after="0"/>
              <w:jc w:val="left"/>
              <w:rPr>
                <w:sz w:val="18"/>
                <w:szCs w:val="18"/>
              </w:rPr>
            </w:pPr>
            <w:r w:rsidRPr="004A5A07">
              <w:rPr>
                <w:sz w:val="18"/>
                <w:szCs w:val="18"/>
              </w:rPr>
              <w:t>Pledged</w:t>
            </w:r>
          </w:p>
        </w:tc>
      </w:tr>
      <w:tr w:rsidR="00FA7957" w:rsidRPr="00FA7957" w14:paraId="1D2D7059" w14:textId="3D4AD5C5" w:rsidTr="00690862">
        <w:tc>
          <w:tcPr>
            <w:tcW w:w="993" w:type="dxa"/>
            <w:shd w:val="clear" w:color="auto" w:fill="auto"/>
            <w:tcMar>
              <w:top w:w="100" w:type="dxa"/>
              <w:left w:w="100" w:type="dxa"/>
              <w:bottom w:w="100" w:type="dxa"/>
              <w:right w:w="100" w:type="dxa"/>
            </w:tcMar>
          </w:tcPr>
          <w:p w14:paraId="497B8C14" w14:textId="26A0F857" w:rsidR="00FA7957" w:rsidRPr="004A5A07" w:rsidRDefault="00FA7957" w:rsidP="00FA7957">
            <w:pPr>
              <w:spacing w:after="0"/>
              <w:jc w:val="left"/>
              <w:rPr>
                <w:sz w:val="18"/>
                <w:szCs w:val="18"/>
              </w:rPr>
            </w:pPr>
            <w:r w:rsidRPr="004A5A07">
              <w:rPr>
                <w:sz w:val="18"/>
                <w:szCs w:val="18"/>
              </w:rPr>
              <w:t>Payment mode offer</w:t>
            </w:r>
          </w:p>
        </w:tc>
        <w:tc>
          <w:tcPr>
            <w:tcW w:w="978" w:type="dxa"/>
            <w:shd w:val="clear" w:color="auto" w:fill="auto"/>
            <w:tcMar>
              <w:top w:w="100" w:type="dxa"/>
              <w:left w:w="100" w:type="dxa"/>
              <w:bottom w:w="100" w:type="dxa"/>
              <w:right w:w="100" w:type="dxa"/>
            </w:tcMar>
          </w:tcPr>
          <w:p w14:paraId="23B9C55E" w14:textId="2B3A2314" w:rsidR="00FA7957" w:rsidRPr="004A5A07" w:rsidRDefault="00FA7957" w:rsidP="00FA7957">
            <w:pPr>
              <w:spacing w:after="0"/>
              <w:jc w:val="left"/>
              <w:rPr>
                <w:sz w:val="18"/>
                <w:szCs w:val="18"/>
              </w:rPr>
            </w:pPr>
            <w:r w:rsidRPr="004A5A07">
              <w:rPr>
                <w:sz w:val="18"/>
                <w:szCs w:val="18"/>
              </w:rPr>
              <w:t>Per-for-use</w:t>
            </w:r>
            <w:r w:rsidRPr="004A5A07">
              <w:rPr>
                <w:sz w:val="18"/>
                <w:szCs w:val="18"/>
                <w:vertAlign w:val="superscript"/>
              </w:rPr>
              <w:footnoteReference w:id="2"/>
            </w:r>
          </w:p>
        </w:tc>
        <w:tc>
          <w:tcPr>
            <w:tcW w:w="978" w:type="dxa"/>
            <w:shd w:val="clear" w:color="auto" w:fill="auto"/>
            <w:tcMar>
              <w:top w:w="100" w:type="dxa"/>
              <w:left w:w="100" w:type="dxa"/>
              <w:bottom w:w="100" w:type="dxa"/>
              <w:right w:w="100" w:type="dxa"/>
            </w:tcMar>
          </w:tcPr>
          <w:p w14:paraId="28D5626B" w14:textId="3C7C1C81" w:rsidR="00FA7957" w:rsidRPr="004A5A07" w:rsidRDefault="00FA7957" w:rsidP="00FA7957">
            <w:pPr>
              <w:spacing w:after="0"/>
              <w:jc w:val="left"/>
              <w:rPr>
                <w:sz w:val="18"/>
                <w:szCs w:val="18"/>
              </w:rPr>
            </w:pPr>
            <w:r w:rsidRPr="004A5A07">
              <w:rPr>
                <w:sz w:val="18"/>
                <w:szCs w:val="18"/>
              </w:rPr>
              <w:t>Per-for-use</w:t>
            </w:r>
          </w:p>
        </w:tc>
        <w:tc>
          <w:tcPr>
            <w:tcW w:w="978" w:type="dxa"/>
          </w:tcPr>
          <w:p w14:paraId="649C70F4" w14:textId="212A12E2" w:rsidR="00FA7957" w:rsidRPr="004A5A07" w:rsidRDefault="00FA7957" w:rsidP="00FA7957">
            <w:pPr>
              <w:spacing w:after="0"/>
              <w:jc w:val="left"/>
              <w:rPr>
                <w:sz w:val="18"/>
                <w:szCs w:val="18"/>
              </w:rPr>
            </w:pPr>
            <w:r w:rsidRPr="004A5A07">
              <w:rPr>
                <w:sz w:val="18"/>
                <w:szCs w:val="18"/>
              </w:rPr>
              <w:t>Pay-for-use</w:t>
            </w:r>
          </w:p>
        </w:tc>
        <w:tc>
          <w:tcPr>
            <w:tcW w:w="978" w:type="dxa"/>
          </w:tcPr>
          <w:p w14:paraId="40312A20" w14:textId="5966168E" w:rsidR="00FA7957" w:rsidRPr="004A5A07" w:rsidRDefault="00FA7957" w:rsidP="00FA7957">
            <w:pPr>
              <w:spacing w:after="0"/>
              <w:jc w:val="left"/>
              <w:rPr>
                <w:sz w:val="18"/>
                <w:szCs w:val="18"/>
              </w:rPr>
            </w:pPr>
            <w:r w:rsidRPr="004A5A07">
              <w:rPr>
                <w:sz w:val="18"/>
                <w:szCs w:val="18"/>
              </w:rPr>
              <w:t>Per-for-use</w:t>
            </w:r>
          </w:p>
        </w:tc>
        <w:tc>
          <w:tcPr>
            <w:tcW w:w="978" w:type="dxa"/>
          </w:tcPr>
          <w:p w14:paraId="3F133F13" w14:textId="7A324357" w:rsidR="00FA7957" w:rsidRPr="004A5A07" w:rsidRDefault="00FA7957" w:rsidP="00FA7957">
            <w:pPr>
              <w:spacing w:after="0"/>
              <w:jc w:val="left"/>
              <w:rPr>
                <w:sz w:val="18"/>
                <w:szCs w:val="18"/>
              </w:rPr>
            </w:pPr>
            <w:r w:rsidRPr="004A5A07">
              <w:rPr>
                <w:sz w:val="18"/>
                <w:szCs w:val="18"/>
              </w:rPr>
              <w:t>Per-for-use</w:t>
            </w:r>
          </w:p>
        </w:tc>
        <w:tc>
          <w:tcPr>
            <w:tcW w:w="978" w:type="dxa"/>
          </w:tcPr>
          <w:p w14:paraId="4B13D157" w14:textId="7DF7EC88" w:rsidR="00FA7957" w:rsidRPr="004A5A07" w:rsidRDefault="00FA7957" w:rsidP="00FA7957">
            <w:pPr>
              <w:spacing w:after="0"/>
              <w:jc w:val="left"/>
              <w:rPr>
                <w:sz w:val="18"/>
                <w:szCs w:val="18"/>
              </w:rPr>
            </w:pPr>
            <w:r w:rsidRPr="004A5A07">
              <w:rPr>
                <w:sz w:val="18"/>
                <w:szCs w:val="18"/>
              </w:rPr>
              <w:t>Per-for-use</w:t>
            </w:r>
          </w:p>
        </w:tc>
        <w:tc>
          <w:tcPr>
            <w:tcW w:w="978" w:type="dxa"/>
          </w:tcPr>
          <w:p w14:paraId="67554D26" w14:textId="43CA2A60" w:rsidR="00FA7957" w:rsidRPr="004A5A07" w:rsidRDefault="00FA7957" w:rsidP="00FA7957">
            <w:pPr>
              <w:spacing w:after="0"/>
              <w:jc w:val="left"/>
              <w:rPr>
                <w:sz w:val="18"/>
                <w:szCs w:val="18"/>
              </w:rPr>
            </w:pPr>
            <w:r w:rsidRPr="004A5A07">
              <w:rPr>
                <w:sz w:val="18"/>
                <w:szCs w:val="18"/>
              </w:rPr>
              <w:t>Per-for-use</w:t>
            </w:r>
          </w:p>
        </w:tc>
        <w:tc>
          <w:tcPr>
            <w:tcW w:w="978" w:type="dxa"/>
          </w:tcPr>
          <w:p w14:paraId="66BF5DD4" w14:textId="754C9BDB" w:rsidR="00FA7957" w:rsidRPr="004A5A07" w:rsidRDefault="00FA7957" w:rsidP="00FA7957">
            <w:pPr>
              <w:spacing w:after="0"/>
              <w:jc w:val="left"/>
              <w:rPr>
                <w:sz w:val="18"/>
                <w:szCs w:val="18"/>
              </w:rPr>
            </w:pPr>
            <w:r w:rsidRPr="004A5A07">
              <w:rPr>
                <w:sz w:val="18"/>
                <w:szCs w:val="18"/>
              </w:rPr>
              <w:t>Pay-for-use</w:t>
            </w:r>
          </w:p>
        </w:tc>
        <w:tc>
          <w:tcPr>
            <w:tcW w:w="978" w:type="dxa"/>
          </w:tcPr>
          <w:p w14:paraId="789B8A7F" w14:textId="4178ED81" w:rsidR="00FA7957" w:rsidRPr="004A5A07" w:rsidRDefault="00FA7957" w:rsidP="00FA7957">
            <w:pPr>
              <w:spacing w:after="0"/>
              <w:jc w:val="left"/>
              <w:rPr>
                <w:sz w:val="18"/>
                <w:szCs w:val="18"/>
              </w:rPr>
            </w:pPr>
            <w:r w:rsidRPr="004A5A07">
              <w:rPr>
                <w:sz w:val="18"/>
                <w:szCs w:val="18"/>
              </w:rPr>
              <w:t>Pay-for-use</w:t>
            </w:r>
          </w:p>
        </w:tc>
        <w:tc>
          <w:tcPr>
            <w:tcW w:w="979" w:type="dxa"/>
          </w:tcPr>
          <w:p w14:paraId="7AF7CC17" w14:textId="60FD41BE" w:rsidR="00FA7957" w:rsidRPr="004A5A07" w:rsidRDefault="00FA7957" w:rsidP="00FA7957">
            <w:pPr>
              <w:spacing w:after="0"/>
              <w:jc w:val="left"/>
              <w:rPr>
                <w:sz w:val="18"/>
                <w:szCs w:val="18"/>
              </w:rPr>
            </w:pPr>
            <w:r w:rsidRPr="004A5A07">
              <w:rPr>
                <w:sz w:val="18"/>
                <w:szCs w:val="18"/>
              </w:rPr>
              <w:t>Pay-for-use</w:t>
            </w:r>
          </w:p>
        </w:tc>
      </w:tr>
      <w:tr w:rsidR="00FA7957" w:rsidRPr="00FA7957" w14:paraId="7BB98965" w14:textId="0F5D9348" w:rsidTr="00690862">
        <w:trPr>
          <w:trHeight w:val="420"/>
        </w:trPr>
        <w:tc>
          <w:tcPr>
            <w:tcW w:w="993" w:type="dxa"/>
            <w:shd w:val="clear" w:color="auto" w:fill="auto"/>
            <w:tcMar>
              <w:top w:w="100" w:type="dxa"/>
              <w:left w:w="100" w:type="dxa"/>
              <w:bottom w:w="100" w:type="dxa"/>
              <w:right w:w="100" w:type="dxa"/>
            </w:tcMar>
          </w:tcPr>
          <w:p w14:paraId="733BD920" w14:textId="0863D742" w:rsidR="00FA7957" w:rsidRPr="004A5A07" w:rsidRDefault="00FA7957" w:rsidP="00FA7957">
            <w:pPr>
              <w:spacing w:after="0"/>
              <w:jc w:val="left"/>
              <w:rPr>
                <w:sz w:val="18"/>
                <w:szCs w:val="18"/>
              </w:rPr>
            </w:pPr>
            <w:r w:rsidRPr="004A5A07">
              <w:rPr>
                <w:sz w:val="18"/>
                <w:szCs w:val="18"/>
              </w:rPr>
              <w:t>Duration</w:t>
            </w:r>
          </w:p>
        </w:tc>
        <w:tc>
          <w:tcPr>
            <w:tcW w:w="978" w:type="dxa"/>
            <w:shd w:val="clear" w:color="auto" w:fill="auto"/>
            <w:tcMar>
              <w:top w:w="100" w:type="dxa"/>
              <w:left w:w="100" w:type="dxa"/>
              <w:bottom w:w="100" w:type="dxa"/>
              <w:right w:w="100" w:type="dxa"/>
            </w:tcMar>
          </w:tcPr>
          <w:p w14:paraId="5A0595D0" w14:textId="77777777" w:rsidR="00FA7957" w:rsidRPr="004A5A07" w:rsidRDefault="00FA7957" w:rsidP="00FA7957">
            <w:pPr>
              <w:spacing w:after="0"/>
              <w:jc w:val="left"/>
              <w:rPr>
                <w:sz w:val="18"/>
                <w:szCs w:val="18"/>
              </w:rPr>
            </w:pPr>
            <w:r w:rsidRPr="004A5A07">
              <w:rPr>
                <w:sz w:val="18"/>
                <w:szCs w:val="18"/>
              </w:rPr>
              <w:t>01 August 2018 – 31 May 2020</w:t>
            </w:r>
          </w:p>
        </w:tc>
        <w:tc>
          <w:tcPr>
            <w:tcW w:w="978" w:type="dxa"/>
            <w:shd w:val="clear" w:color="auto" w:fill="auto"/>
            <w:tcMar>
              <w:top w:w="100" w:type="dxa"/>
              <w:left w:w="100" w:type="dxa"/>
              <w:bottom w:w="100" w:type="dxa"/>
              <w:right w:w="100" w:type="dxa"/>
            </w:tcMar>
          </w:tcPr>
          <w:p w14:paraId="235129B3" w14:textId="7DF51633" w:rsidR="00FA7957" w:rsidRPr="004A5A07" w:rsidRDefault="00FA7957" w:rsidP="00FA7957">
            <w:pPr>
              <w:spacing w:after="0"/>
              <w:jc w:val="left"/>
              <w:rPr>
                <w:sz w:val="18"/>
                <w:szCs w:val="18"/>
              </w:rPr>
            </w:pPr>
            <w:r w:rsidRPr="004A5A07">
              <w:rPr>
                <w:sz w:val="18"/>
                <w:szCs w:val="18"/>
              </w:rPr>
              <w:t>01 January 2018 – 31 May 2020</w:t>
            </w:r>
          </w:p>
        </w:tc>
        <w:tc>
          <w:tcPr>
            <w:tcW w:w="978" w:type="dxa"/>
          </w:tcPr>
          <w:p w14:paraId="5FF3AB1D" w14:textId="66232205" w:rsidR="00FA7957" w:rsidRPr="004A5A07" w:rsidRDefault="00FA7957" w:rsidP="00FA7957">
            <w:pPr>
              <w:spacing w:after="0"/>
              <w:jc w:val="left"/>
              <w:rPr>
                <w:sz w:val="18"/>
                <w:szCs w:val="18"/>
              </w:rPr>
            </w:pPr>
            <w:r w:rsidRPr="004A5A07">
              <w:rPr>
                <w:sz w:val="18"/>
                <w:szCs w:val="18"/>
              </w:rPr>
              <w:t>01 April 2018 – 31 May 2020</w:t>
            </w:r>
          </w:p>
        </w:tc>
        <w:tc>
          <w:tcPr>
            <w:tcW w:w="978" w:type="dxa"/>
          </w:tcPr>
          <w:p w14:paraId="14E43176" w14:textId="76A125F9" w:rsidR="00FA7957" w:rsidRPr="004A5A07" w:rsidRDefault="00FA7957" w:rsidP="00FA7957">
            <w:pPr>
              <w:spacing w:after="0"/>
              <w:jc w:val="left"/>
              <w:rPr>
                <w:sz w:val="18"/>
                <w:szCs w:val="18"/>
              </w:rPr>
            </w:pPr>
            <w:r w:rsidRPr="004A5A07">
              <w:rPr>
                <w:sz w:val="18"/>
                <w:szCs w:val="18"/>
              </w:rPr>
              <w:t>16 April 2018 – 15 June 2020</w:t>
            </w:r>
          </w:p>
        </w:tc>
        <w:tc>
          <w:tcPr>
            <w:tcW w:w="978" w:type="dxa"/>
          </w:tcPr>
          <w:p w14:paraId="7E33AADC" w14:textId="3BCA494E" w:rsidR="00FA7957" w:rsidRPr="004A5A07" w:rsidRDefault="00FA7957" w:rsidP="00FA7957">
            <w:pPr>
              <w:spacing w:after="0"/>
              <w:jc w:val="left"/>
              <w:rPr>
                <w:sz w:val="18"/>
                <w:szCs w:val="18"/>
              </w:rPr>
            </w:pPr>
            <w:r w:rsidRPr="004A5A07">
              <w:rPr>
                <w:sz w:val="18"/>
                <w:szCs w:val="18"/>
              </w:rPr>
              <w:t>01 October 2018 – 31 May 2020</w:t>
            </w:r>
          </w:p>
        </w:tc>
        <w:tc>
          <w:tcPr>
            <w:tcW w:w="978" w:type="dxa"/>
          </w:tcPr>
          <w:p w14:paraId="4D10C2BA" w14:textId="563B3746" w:rsidR="00FA7957" w:rsidRPr="004A5A07" w:rsidRDefault="00FA7957" w:rsidP="00FA7957">
            <w:pPr>
              <w:spacing w:after="0"/>
              <w:jc w:val="left"/>
              <w:rPr>
                <w:sz w:val="18"/>
                <w:szCs w:val="18"/>
              </w:rPr>
            </w:pPr>
            <w:r w:rsidRPr="004A5A07">
              <w:rPr>
                <w:sz w:val="18"/>
                <w:szCs w:val="18"/>
              </w:rPr>
              <w:t>08 April 2019 – 31 May 2020</w:t>
            </w:r>
          </w:p>
        </w:tc>
        <w:tc>
          <w:tcPr>
            <w:tcW w:w="978" w:type="dxa"/>
          </w:tcPr>
          <w:p w14:paraId="40CDCA49" w14:textId="4DA5D661" w:rsidR="00FA7957" w:rsidRPr="004A5A07" w:rsidRDefault="00FA7957" w:rsidP="00FA7957">
            <w:pPr>
              <w:spacing w:after="0"/>
              <w:jc w:val="left"/>
              <w:rPr>
                <w:sz w:val="18"/>
                <w:szCs w:val="18"/>
              </w:rPr>
            </w:pPr>
            <w:r w:rsidRPr="004A5A07">
              <w:rPr>
                <w:sz w:val="18"/>
                <w:szCs w:val="18"/>
              </w:rPr>
              <w:t>01 June 2019 – 31 May 2020</w:t>
            </w:r>
          </w:p>
        </w:tc>
        <w:tc>
          <w:tcPr>
            <w:tcW w:w="978" w:type="dxa"/>
          </w:tcPr>
          <w:p w14:paraId="72DF55C9" w14:textId="60C4F2B3" w:rsidR="00FA7957" w:rsidRPr="004A5A07" w:rsidRDefault="00FA7957" w:rsidP="00FA7957">
            <w:pPr>
              <w:spacing w:after="0"/>
              <w:jc w:val="left"/>
              <w:rPr>
                <w:sz w:val="18"/>
                <w:szCs w:val="18"/>
              </w:rPr>
            </w:pPr>
            <w:r w:rsidRPr="004A5A07">
              <w:rPr>
                <w:sz w:val="18"/>
                <w:szCs w:val="18"/>
              </w:rPr>
              <w:t>19 June 2019 – 31 May 2020</w:t>
            </w:r>
          </w:p>
        </w:tc>
        <w:tc>
          <w:tcPr>
            <w:tcW w:w="978" w:type="dxa"/>
          </w:tcPr>
          <w:p w14:paraId="33642390" w14:textId="573C526A" w:rsidR="00FA7957" w:rsidRPr="004A5A07" w:rsidRDefault="00FA7957" w:rsidP="00FA7957">
            <w:pPr>
              <w:spacing w:after="0"/>
              <w:jc w:val="left"/>
              <w:rPr>
                <w:sz w:val="18"/>
                <w:szCs w:val="18"/>
              </w:rPr>
            </w:pPr>
            <w:r w:rsidRPr="004A5A07">
              <w:rPr>
                <w:sz w:val="18"/>
                <w:szCs w:val="18"/>
              </w:rPr>
              <w:t>26 June 2019 – 31 May 2020</w:t>
            </w:r>
          </w:p>
        </w:tc>
        <w:tc>
          <w:tcPr>
            <w:tcW w:w="979" w:type="dxa"/>
          </w:tcPr>
          <w:p w14:paraId="13E7EDA0" w14:textId="6ECFF076" w:rsidR="00FA7957" w:rsidRPr="004A5A07" w:rsidRDefault="00FA7957" w:rsidP="00FA7957">
            <w:pPr>
              <w:spacing w:after="0"/>
              <w:jc w:val="left"/>
              <w:rPr>
                <w:sz w:val="18"/>
                <w:szCs w:val="18"/>
              </w:rPr>
            </w:pPr>
            <w:r w:rsidRPr="004A5A07">
              <w:rPr>
                <w:sz w:val="18"/>
                <w:szCs w:val="18"/>
              </w:rPr>
              <w:t>26 June 2019 – 31 May 2020</w:t>
            </w:r>
          </w:p>
        </w:tc>
      </w:tr>
      <w:tr w:rsidR="00690862" w:rsidRPr="00FA7957" w14:paraId="78C63C9B" w14:textId="334CDA79" w:rsidTr="00690862">
        <w:trPr>
          <w:trHeight w:val="420"/>
        </w:trPr>
        <w:tc>
          <w:tcPr>
            <w:tcW w:w="10774" w:type="dxa"/>
            <w:gridSpan w:val="11"/>
            <w:shd w:val="clear" w:color="auto" w:fill="B8CCE4"/>
            <w:tcMar>
              <w:top w:w="100" w:type="dxa"/>
              <w:left w:w="100" w:type="dxa"/>
              <w:bottom w:w="100" w:type="dxa"/>
              <w:right w:w="100" w:type="dxa"/>
            </w:tcMar>
          </w:tcPr>
          <w:p w14:paraId="1A924CF4" w14:textId="174F1BFF" w:rsidR="00690862" w:rsidRPr="004A5A07" w:rsidRDefault="00690862" w:rsidP="00FA7957">
            <w:pPr>
              <w:tabs>
                <w:tab w:val="left" w:pos="8127"/>
              </w:tabs>
              <w:spacing w:after="0"/>
              <w:rPr>
                <w:b/>
                <w:sz w:val="18"/>
                <w:szCs w:val="18"/>
              </w:rPr>
            </w:pPr>
            <w:r w:rsidRPr="004A5A07">
              <w:rPr>
                <w:b/>
                <w:sz w:val="18"/>
                <w:szCs w:val="18"/>
              </w:rPr>
              <w:t>Storage</w:t>
            </w:r>
          </w:p>
        </w:tc>
      </w:tr>
      <w:tr w:rsidR="00FA7957" w:rsidRPr="00FA7957" w14:paraId="6A44ACD7" w14:textId="799EDB18" w:rsidTr="00690862">
        <w:tc>
          <w:tcPr>
            <w:tcW w:w="993" w:type="dxa"/>
            <w:shd w:val="clear" w:color="auto" w:fill="auto"/>
            <w:tcMar>
              <w:top w:w="100" w:type="dxa"/>
              <w:left w:w="100" w:type="dxa"/>
              <w:bottom w:w="100" w:type="dxa"/>
              <w:right w:w="100" w:type="dxa"/>
            </w:tcMar>
          </w:tcPr>
          <w:p w14:paraId="680FFDE4" w14:textId="77777777" w:rsidR="00FA7957" w:rsidRPr="004A5A07" w:rsidRDefault="00FA7957" w:rsidP="00FA7957">
            <w:pPr>
              <w:spacing w:after="0"/>
              <w:jc w:val="left"/>
              <w:rPr>
                <w:sz w:val="18"/>
                <w:szCs w:val="18"/>
              </w:rPr>
            </w:pPr>
            <w:r w:rsidRPr="004A5A07">
              <w:rPr>
                <w:sz w:val="18"/>
                <w:szCs w:val="18"/>
              </w:rPr>
              <w:t>Category</w:t>
            </w:r>
          </w:p>
        </w:tc>
        <w:tc>
          <w:tcPr>
            <w:tcW w:w="978" w:type="dxa"/>
            <w:shd w:val="clear" w:color="auto" w:fill="808080" w:themeFill="background1" w:themeFillShade="80"/>
            <w:tcMar>
              <w:top w:w="100" w:type="dxa"/>
              <w:left w:w="100" w:type="dxa"/>
              <w:bottom w:w="100" w:type="dxa"/>
              <w:right w:w="100" w:type="dxa"/>
            </w:tcMar>
          </w:tcPr>
          <w:p w14:paraId="488C1022" w14:textId="3E618CDA" w:rsidR="00FA7957" w:rsidRPr="004A5A07" w:rsidRDefault="00FA7957" w:rsidP="00FA7957">
            <w:pPr>
              <w:spacing w:after="0"/>
              <w:jc w:val="left"/>
              <w:rPr>
                <w:sz w:val="18"/>
                <w:szCs w:val="18"/>
              </w:rPr>
            </w:pPr>
          </w:p>
        </w:tc>
        <w:tc>
          <w:tcPr>
            <w:tcW w:w="978" w:type="dxa"/>
            <w:shd w:val="clear" w:color="auto" w:fill="auto"/>
            <w:tcMar>
              <w:top w:w="100" w:type="dxa"/>
              <w:left w:w="100" w:type="dxa"/>
              <w:bottom w:w="100" w:type="dxa"/>
              <w:right w:w="100" w:type="dxa"/>
            </w:tcMar>
          </w:tcPr>
          <w:p w14:paraId="4053CF4E" w14:textId="6D0729ED" w:rsidR="00FA7957" w:rsidRPr="004A5A07" w:rsidRDefault="00EE70C2" w:rsidP="00FA7957">
            <w:pPr>
              <w:spacing w:after="0"/>
              <w:jc w:val="left"/>
              <w:rPr>
                <w:sz w:val="18"/>
                <w:szCs w:val="18"/>
              </w:rPr>
            </w:pPr>
            <w:hyperlink r:id="rId29">
              <w:r w:rsidR="00FA7957" w:rsidRPr="004A5A07">
                <w:rPr>
                  <w:color w:val="1155CC"/>
                  <w:sz w:val="18"/>
                  <w:szCs w:val="18"/>
                  <w:u w:val="single"/>
                </w:rPr>
                <w:t>Online Storage</w:t>
              </w:r>
            </w:hyperlink>
            <w:r w:rsidR="00FA7957" w:rsidRPr="004A5A07">
              <w:rPr>
                <w:sz w:val="18"/>
                <w:szCs w:val="18"/>
              </w:rPr>
              <w:t xml:space="preserve"> </w:t>
            </w:r>
          </w:p>
        </w:tc>
        <w:tc>
          <w:tcPr>
            <w:tcW w:w="978" w:type="dxa"/>
          </w:tcPr>
          <w:p w14:paraId="638D6FA2" w14:textId="3A18413A" w:rsidR="00FA7957" w:rsidRPr="004A5A07" w:rsidRDefault="00EE70C2" w:rsidP="00FA7957">
            <w:pPr>
              <w:spacing w:after="0"/>
              <w:jc w:val="left"/>
              <w:rPr>
                <w:sz w:val="18"/>
                <w:szCs w:val="18"/>
              </w:rPr>
            </w:pPr>
            <w:hyperlink r:id="rId30">
              <w:r w:rsidR="00FA7957" w:rsidRPr="004A5A07">
                <w:rPr>
                  <w:color w:val="1155CC"/>
                  <w:sz w:val="18"/>
                  <w:szCs w:val="18"/>
                  <w:u w:val="single"/>
                </w:rPr>
                <w:t>Online Storage</w:t>
              </w:r>
            </w:hyperlink>
            <w:r w:rsidR="00FA7957" w:rsidRPr="004A5A07">
              <w:rPr>
                <w:sz w:val="18"/>
                <w:szCs w:val="18"/>
              </w:rPr>
              <w:t xml:space="preserve"> </w:t>
            </w:r>
          </w:p>
        </w:tc>
        <w:tc>
          <w:tcPr>
            <w:tcW w:w="978" w:type="dxa"/>
          </w:tcPr>
          <w:p w14:paraId="178CDD01" w14:textId="43894F26" w:rsidR="00FA7957" w:rsidRPr="004A5A07" w:rsidRDefault="00EE70C2" w:rsidP="00FA7957">
            <w:pPr>
              <w:spacing w:after="0"/>
              <w:jc w:val="left"/>
              <w:rPr>
                <w:sz w:val="18"/>
                <w:szCs w:val="18"/>
              </w:rPr>
            </w:pPr>
            <w:hyperlink r:id="rId31">
              <w:r w:rsidR="00FA7957" w:rsidRPr="004A5A07">
                <w:rPr>
                  <w:color w:val="1155CC"/>
                  <w:sz w:val="18"/>
                  <w:szCs w:val="18"/>
                  <w:u w:val="single"/>
                </w:rPr>
                <w:t>Online Storage</w:t>
              </w:r>
            </w:hyperlink>
          </w:p>
        </w:tc>
        <w:tc>
          <w:tcPr>
            <w:tcW w:w="978" w:type="dxa"/>
          </w:tcPr>
          <w:p w14:paraId="0C182174" w14:textId="215B2261" w:rsidR="00FA7957" w:rsidRPr="004A5A07" w:rsidRDefault="00EE70C2" w:rsidP="00FA7957">
            <w:pPr>
              <w:spacing w:after="0"/>
              <w:jc w:val="left"/>
              <w:rPr>
                <w:sz w:val="18"/>
                <w:szCs w:val="18"/>
              </w:rPr>
            </w:pPr>
            <w:hyperlink r:id="rId32">
              <w:r w:rsidR="00FA7957" w:rsidRPr="004A5A07">
                <w:rPr>
                  <w:color w:val="1155CC"/>
                  <w:sz w:val="18"/>
                  <w:szCs w:val="18"/>
                  <w:u w:val="single"/>
                </w:rPr>
                <w:t>Online Storage</w:t>
              </w:r>
            </w:hyperlink>
          </w:p>
        </w:tc>
        <w:tc>
          <w:tcPr>
            <w:tcW w:w="978" w:type="dxa"/>
            <w:shd w:val="clear" w:color="auto" w:fill="808080" w:themeFill="background1" w:themeFillShade="80"/>
          </w:tcPr>
          <w:p w14:paraId="10A320F8" w14:textId="77777777" w:rsidR="00FA7957" w:rsidRPr="004A5A07" w:rsidRDefault="00FA7957" w:rsidP="00FA7957">
            <w:pPr>
              <w:spacing w:after="0"/>
              <w:jc w:val="left"/>
              <w:rPr>
                <w:sz w:val="18"/>
                <w:szCs w:val="18"/>
              </w:rPr>
            </w:pPr>
          </w:p>
        </w:tc>
        <w:tc>
          <w:tcPr>
            <w:tcW w:w="978" w:type="dxa"/>
          </w:tcPr>
          <w:p w14:paraId="02033224" w14:textId="4E02FE58" w:rsidR="00FA7957" w:rsidRPr="004A5A07" w:rsidRDefault="00EE70C2" w:rsidP="00FA7957">
            <w:pPr>
              <w:spacing w:after="0"/>
              <w:jc w:val="left"/>
              <w:rPr>
                <w:sz w:val="18"/>
                <w:szCs w:val="18"/>
              </w:rPr>
            </w:pPr>
            <w:hyperlink r:id="rId33">
              <w:r w:rsidR="00FA7957" w:rsidRPr="004A5A07">
                <w:rPr>
                  <w:color w:val="1155CC"/>
                  <w:sz w:val="18"/>
                  <w:szCs w:val="18"/>
                  <w:u w:val="single"/>
                </w:rPr>
                <w:t>Online Storage</w:t>
              </w:r>
            </w:hyperlink>
            <w:r w:rsidR="00FA7957" w:rsidRPr="004A5A07">
              <w:rPr>
                <w:sz w:val="18"/>
                <w:szCs w:val="18"/>
              </w:rPr>
              <w:t xml:space="preserve"> </w:t>
            </w:r>
          </w:p>
        </w:tc>
        <w:tc>
          <w:tcPr>
            <w:tcW w:w="978" w:type="dxa"/>
            <w:shd w:val="clear" w:color="auto" w:fill="808080" w:themeFill="background1" w:themeFillShade="80"/>
          </w:tcPr>
          <w:p w14:paraId="037D07B9" w14:textId="77777777" w:rsidR="00FA7957" w:rsidRPr="004A5A07" w:rsidRDefault="00FA7957" w:rsidP="00FA7957">
            <w:pPr>
              <w:spacing w:after="0"/>
              <w:jc w:val="left"/>
              <w:rPr>
                <w:sz w:val="18"/>
                <w:szCs w:val="18"/>
              </w:rPr>
            </w:pPr>
          </w:p>
        </w:tc>
        <w:tc>
          <w:tcPr>
            <w:tcW w:w="978" w:type="dxa"/>
            <w:shd w:val="clear" w:color="auto" w:fill="808080" w:themeFill="background1" w:themeFillShade="80"/>
          </w:tcPr>
          <w:p w14:paraId="4D7B53EA" w14:textId="77777777" w:rsidR="00FA7957" w:rsidRPr="004A5A07" w:rsidRDefault="00FA7957" w:rsidP="00FA7957">
            <w:pPr>
              <w:spacing w:after="0"/>
              <w:jc w:val="left"/>
              <w:rPr>
                <w:sz w:val="18"/>
                <w:szCs w:val="18"/>
              </w:rPr>
            </w:pPr>
          </w:p>
        </w:tc>
        <w:tc>
          <w:tcPr>
            <w:tcW w:w="979" w:type="dxa"/>
            <w:shd w:val="clear" w:color="auto" w:fill="808080" w:themeFill="background1" w:themeFillShade="80"/>
          </w:tcPr>
          <w:p w14:paraId="5E48193C" w14:textId="77777777" w:rsidR="00FA7957" w:rsidRPr="004A5A07" w:rsidRDefault="00FA7957" w:rsidP="00FA7957">
            <w:pPr>
              <w:spacing w:after="0"/>
              <w:jc w:val="left"/>
              <w:rPr>
                <w:sz w:val="18"/>
                <w:szCs w:val="18"/>
              </w:rPr>
            </w:pPr>
          </w:p>
        </w:tc>
      </w:tr>
      <w:tr w:rsidR="00FA7957" w:rsidRPr="00FA7957" w14:paraId="59B874FE" w14:textId="0EFCF3D5" w:rsidTr="00690862">
        <w:tc>
          <w:tcPr>
            <w:tcW w:w="993" w:type="dxa"/>
            <w:shd w:val="clear" w:color="auto" w:fill="auto"/>
            <w:tcMar>
              <w:top w:w="100" w:type="dxa"/>
              <w:left w:w="100" w:type="dxa"/>
              <w:bottom w:w="100" w:type="dxa"/>
              <w:right w:w="100" w:type="dxa"/>
            </w:tcMar>
          </w:tcPr>
          <w:p w14:paraId="67A79536" w14:textId="09EEDD4A" w:rsidR="00FA7957" w:rsidRPr="004A5A07" w:rsidRDefault="00FA7957" w:rsidP="00FA7957">
            <w:pPr>
              <w:spacing w:after="0"/>
              <w:jc w:val="left"/>
              <w:rPr>
                <w:sz w:val="18"/>
                <w:szCs w:val="18"/>
              </w:rPr>
            </w:pPr>
            <w:r w:rsidRPr="004A5A07">
              <w:rPr>
                <w:sz w:val="18"/>
                <w:szCs w:val="18"/>
              </w:rPr>
              <w:t>Guaran-teed storage capacity [TB]:</w:t>
            </w:r>
          </w:p>
        </w:tc>
        <w:tc>
          <w:tcPr>
            <w:tcW w:w="978" w:type="dxa"/>
            <w:shd w:val="clear" w:color="auto" w:fill="808080" w:themeFill="background1" w:themeFillShade="80"/>
            <w:tcMar>
              <w:top w:w="100" w:type="dxa"/>
              <w:left w:w="100" w:type="dxa"/>
              <w:bottom w:w="100" w:type="dxa"/>
              <w:right w:w="100" w:type="dxa"/>
            </w:tcMar>
          </w:tcPr>
          <w:p w14:paraId="2314220B" w14:textId="3F655772" w:rsidR="00FA7957" w:rsidRPr="004A5A07" w:rsidRDefault="00FA7957" w:rsidP="00FA7957">
            <w:pPr>
              <w:spacing w:after="0"/>
              <w:jc w:val="left"/>
              <w:rPr>
                <w:sz w:val="18"/>
                <w:szCs w:val="18"/>
              </w:rPr>
            </w:pPr>
          </w:p>
        </w:tc>
        <w:tc>
          <w:tcPr>
            <w:tcW w:w="978" w:type="dxa"/>
            <w:shd w:val="clear" w:color="auto" w:fill="auto"/>
            <w:tcMar>
              <w:top w:w="100" w:type="dxa"/>
              <w:left w:w="100" w:type="dxa"/>
              <w:bottom w:w="100" w:type="dxa"/>
              <w:right w:w="100" w:type="dxa"/>
            </w:tcMar>
          </w:tcPr>
          <w:p w14:paraId="566AC946" w14:textId="46E0693A" w:rsidR="00FA7957" w:rsidRPr="004A5A07" w:rsidRDefault="00FA7957" w:rsidP="00FA7957">
            <w:pPr>
              <w:spacing w:after="0"/>
              <w:jc w:val="left"/>
              <w:rPr>
                <w:sz w:val="18"/>
                <w:szCs w:val="18"/>
              </w:rPr>
            </w:pPr>
            <w:r w:rsidRPr="004A5A07">
              <w:rPr>
                <w:sz w:val="18"/>
                <w:szCs w:val="18"/>
              </w:rPr>
              <w:t>1</w:t>
            </w:r>
          </w:p>
        </w:tc>
        <w:tc>
          <w:tcPr>
            <w:tcW w:w="978" w:type="dxa"/>
          </w:tcPr>
          <w:p w14:paraId="65AA2230" w14:textId="122E62D1" w:rsidR="00FA7957" w:rsidRPr="004A5A07" w:rsidRDefault="00FA7957" w:rsidP="00FA7957">
            <w:pPr>
              <w:spacing w:after="0"/>
              <w:jc w:val="left"/>
              <w:rPr>
                <w:sz w:val="18"/>
                <w:szCs w:val="18"/>
              </w:rPr>
            </w:pPr>
            <w:r w:rsidRPr="004A5A07">
              <w:rPr>
                <w:sz w:val="18"/>
                <w:szCs w:val="18"/>
              </w:rPr>
              <w:t>0.5</w:t>
            </w:r>
          </w:p>
        </w:tc>
        <w:tc>
          <w:tcPr>
            <w:tcW w:w="978" w:type="dxa"/>
          </w:tcPr>
          <w:p w14:paraId="385D11EE" w14:textId="05AE43BE" w:rsidR="00FA7957" w:rsidRPr="004A5A07" w:rsidRDefault="00FA7957" w:rsidP="00FA7957">
            <w:pPr>
              <w:spacing w:after="0"/>
              <w:jc w:val="left"/>
              <w:rPr>
                <w:sz w:val="18"/>
                <w:szCs w:val="18"/>
              </w:rPr>
            </w:pPr>
            <w:r w:rsidRPr="004A5A07">
              <w:rPr>
                <w:sz w:val="18"/>
                <w:szCs w:val="18"/>
              </w:rPr>
              <w:t>0.5</w:t>
            </w:r>
          </w:p>
        </w:tc>
        <w:tc>
          <w:tcPr>
            <w:tcW w:w="978" w:type="dxa"/>
          </w:tcPr>
          <w:p w14:paraId="5CE34D86" w14:textId="207F1E67" w:rsidR="00FA7957" w:rsidRPr="004A5A07" w:rsidRDefault="00FA7957" w:rsidP="00FA7957">
            <w:pPr>
              <w:spacing w:after="0"/>
              <w:jc w:val="left"/>
              <w:rPr>
                <w:sz w:val="18"/>
                <w:szCs w:val="18"/>
              </w:rPr>
            </w:pPr>
            <w:r w:rsidRPr="004A5A07">
              <w:rPr>
                <w:sz w:val="18"/>
                <w:szCs w:val="18"/>
              </w:rPr>
              <w:t>0.5</w:t>
            </w:r>
          </w:p>
        </w:tc>
        <w:tc>
          <w:tcPr>
            <w:tcW w:w="978" w:type="dxa"/>
            <w:shd w:val="clear" w:color="auto" w:fill="808080" w:themeFill="background1" w:themeFillShade="80"/>
          </w:tcPr>
          <w:p w14:paraId="408BA9AE" w14:textId="77777777" w:rsidR="00FA7957" w:rsidRPr="004A5A07" w:rsidRDefault="00FA7957" w:rsidP="00FA7957">
            <w:pPr>
              <w:spacing w:after="0"/>
              <w:jc w:val="left"/>
              <w:rPr>
                <w:sz w:val="18"/>
                <w:szCs w:val="18"/>
              </w:rPr>
            </w:pPr>
          </w:p>
        </w:tc>
        <w:tc>
          <w:tcPr>
            <w:tcW w:w="978" w:type="dxa"/>
          </w:tcPr>
          <w:p w14:paraId="5C864C38" w14:textId="0EE0306D" w:rsidR="00FA7957" w:rsidRPr="004A5A07" w:rsidRDefault="00FA7957" w:rsidP="00FA7957">
            <w:pPr>
              <w:spacing w:after="0"/>
              <w:jc w:val="left"/>
              <w:rPr>
                <w:sz w:val="18"/>
                <w:szCs w:val="18"/>
              </w:rPr>
            </w:pPr>
            <w:r w:rsidRPr="004A5A07">
              <w:rPr>
                <w:sz w:val="18"/>
                <w:szCs w:val="18"/>
              </w:rPr>
              <w:t>0.02</w:t>
            </w:r>
          </w:p>
        </w:tc>
        <w:tc>
          <w:tcPr>
            <w:tcW w:w="978" w:type="dxa"/>
            <w:shd w:val="clear" w:color="auto" w:fill="808080" w:themeFill="background1" w:themeFillShade="80"/>
          </w:tcPr>
          <w:p w14:paraId="3F10F0C7" w14:textId="77777777" w:rsidR="00FA7957" w:rsidRPr="004A5A07" w:rsidRDefault="00FA7957" w:rsidP="00FA7957">
            <w:pPr>
              <w:spacing w:after="0"/>
              <w:jc w:val="left"/>
              <w:rPr>
                <w:sz w:val="18"/>
                <w:szCs w:val="18"/>
              </w:rPr>
            </w:pPr>
          </w:p>
        </w:tc>
        <w:tc>
          <w:tcPr>
            <w:tcW w:w="978" w:type="dxa"/>
            <w:shd w:val="clear" w:color="auto" w:fill="808080" w:themeFill="background1" w:themeFillShade="80"/>
          </w:tcPr>
          <w:p w14:paraId="6A35636E" w14:textId="77777777" w:rsidR="00FA7957" w:rsidRPr="004A5A07" w:rsidRDefault="00FA7957" w:rsidP="00FA7957">
            <w:pPr>
              <w:spacing w:after="0"/>
              <w:jc w:val="left"/>
              <w:rPr>
                <w:sz w:val="18"/>
                <w:szCs w:val="18"/>
              </w:rPr>
            </w:pPr>
          </w:p>
        </w:tc>
        <w:tc>
          <w:tcPr>
            <w:tcW w:w="979" w:type="dxa"/>
            <w:shd w:val="clear" w:color="auto" w:fill="808080" w:themeFill="background1" w:themeFillShade="80"/>
          </w:tcPr>
          <w:p w14:paraId="1922EE79" w14:textId="77777777" w:rsidR="00FA7957" w:rsidRPr="004A5A07" w:rsidRDefault="00FA7957" w:rsidP="00FA7957">
            <w:pPr>
              <w:spacing w:after="0"/>
              <w:jc w:val="left"/>
              <w:rPr>
                <w:sz w:val="18"/>
                <w:szCs w:val="18"/>
              </w:rPr>
            </w:pPr>
          </w:p>
        </w:tc>
      </w:tr>
      <w:tr w:rsidR="00FA7957" w:rsidRPr="00FA7957" w14:paraId="3B6D05CD" w14:textId="6C23655B" w:rsidTr="00690862">
        <w:tc>
          <w:tcPr>
            <w:tcW w:w="993" w:type="dxa"/>
            <w:shd w:val="clear" w:color="auto" w:fill="auto"/>
            <w:tcMar>
              <w:top w:w="100" w:type="dxa"/>
              <w:left w:w="100" w:type="dxa"/>
              <w:bottom w:w="100" w:type="dxa"/>
              <w:right w:w="100" w:type="dxa"/>
            </w:tcMar>
          </w:tcPr>
          <w:p w14:paraId="146D2A10" w14:textId="0604A45A" w:rsidR="00FA7957" w:rsidRPr="004A5A07" w:rsidRDefault="00FA7957" w:rsidP="00FA7957">
            <w:pPr>
              <w:spacing w:after="0"/>
              <w:jc w:val="left"/>
              <w:rPr>
                <w:sz w:val="18"/>
                <w:szCs w:val="18"/>
              </w:rPr>
            </w:pPr>
            <w:r w:rsidRPr="004A5A07">
              <w:rPr>
                <w:sz w:val="18"/>
                <w:szCs w:val="18"/>
              </w:rPr>
              <w:t>Standard interfaces supported</w:t>
            </w:r>
          </w:p>
        </w:tc>
        <w:tc>
          <w:tcPr>
            <w:tcW w:w="978" w:type="dxa"/>
            <w:shd w:val="clear" w:color="auto" w:fill="808080" w:themeFill="background1" w:themeFillShade="80"/>
            <w:tcMar>
              <w:top w:w="100" w:type="dxa"/>
              <w:left w:w="100" w:type="dxa"/>
              <w:bottom w:w="100" w:type="dxa"/>
              <w:right w:w="100" w:type="dxa"/>
            </w:tcMar>
          </w:tcPr>
          <w:p w14:paraId="3AF36FF8" w14:textId="2DD8787F" w:rsidR="00FA7957" w:rsidRPr="004A5A07" w:rsidRDefault="00FA7957" w:rsidP="00FA7957">
            <w:pPr>
              <w:spacing w:after="0"/>
              <w:jc w:val="left"/>
              <w:rPr>
                <w:sz w:val="18"/>
                <w:szCs w:val="18"/>
              </w:rPr>
            </w:pPr>
          </w:p>
        </w:tc>
        <w:tc>
          <w:tcPr>
            <w:tcW w:w="978" w:type="dxa"/>
            <w:shd w:val="clear" w:color="auto" w:fill="auto"/>
            <w:tcMar>
              <w:top w:w="100" w:type="dxa"/>
              <w:left w:w="100" w:type="dxa"/>
              <w:bottom w:w="100" w:type="dxa"/>
              <w:right w:w="100" w:type="dxa"/>
            </w:tcMar>
          </w:tcPr>
          <w:p w14:paraId="281B53DD" w14:textId="2A31A0ED" w:rsidR="00FA7957" w:rsidRPr="004A5A07" w:rsidRDefault="00FA7957" w:rsidP="00FA7957">
            <w:pPr>
              <w:spacing w:after="0"/>
              <w:jc w:val="left"/>
              <w:rPr>
                <w:sz w:val="18"/>
                <w:szCs w:val="18"/>
              </w:rPr>
            </w:pPr>
            <w:r w:rsidRPr="004A5A07">
              <w:rPr>
                <w:sz w:val="18"/>
                <w:szCs w:val="18"/>
              </w:rPr>
              <w:t xml:space="preserve"> E.g. CDMI, POSIX, SWIFT, etc.</w:t>
            </w:r>
          </w:p>
        </w:tc>
        <w:tc>
          <w:tcPr>
            <w:tcW w:w="978" w:type="dxa"/>
          </w:tcPr>
          <w:p w14:paraId="3990055C" w14:textId="26A11D2D" w:rsidR="00FA7957" w:rsidRPr="004A5A07" w:rsidRDefault="00FA7957" w:rsidP="00FA7957">
            <w:pPr>
              <w:spacing w:after="0"/>
              <w:jc w:val="left"/>
              <w:rPr>
                <w:sz w:val="18"/>
                <w:szCs w:val="18"/>
              </w:rPr>
            </w:pPr>
            <w:r w:rsidRPr="004A5A07">
              <w:rPr>
                <w:sz w:val="18"/>
                <w:szCs w:val="18"/>
              </w:rPr>
              <w:t xml:space="preserve"> E.g. CDMI, POSIX, SWIFT, etc.</w:t>
            </w:r>
          </w:p>
        </w:tc>
        <w:tc>
          <w:tcPr>
            <w:tcW w:w="978" w:type="dxa"/>
          </w:tcPr>
          <w:p w14:paraId="55E11DC8" w14:textId="096988D3" w:rsidR="00FA7957" w:rsidRPr="004A5A07" w:rsidRDefault="00FA7957" w:rsidP="00FA7957">
            <w:pPr>
              <w:spacing w:after="0"/>
              <w:jc w:val="left"/>
              <w:rPr>
                <w:sz w:val="18"/>
                <w:szCs w:val="18"/>
              </w:rPr>
            </w:pPr>
            <w:r w:rsidRPr="004A5A07">
              <w:rPr>
                <w:sz w:val="18"/>
                <w:szCs w:val="18"/>
              </w:rPr>
              <w:t xml:space="preserve"> E.g. CDMI, POSIX, SWIFT, etc.</w:t>
            </w:r>
          </w:p>
        </w:tc>
        <w:tc>
          <w:tcPr>
            <w:tcW w:w="978" w:type="dxa"/>
          </w:tcPr>
          <w:p w14:paraId="0B59C3E1" w14:textId="5AD56004" w:rsidR="00FA7957" w:rsidRPr="004A5A07" w:rsidRDefault="00FA7957" w:rsidP="00FA7957">
            <w:pPr>
              <w:spacing w:after="0"/>
              <w:jc w:val="left"/>
              <w:rPr>
                <w:sz w:val="18"/>
                <w:szCs w:val="18"/>
              </w:rPr>
            </w:pPr>
            <w:r w:rsidRPr="004A5A07">
              <w:rPr>
                <w:sz w:val="18"/>
                <w:szCs w:val="18"/>
              </w:rPr>
              <w:t xml:space="preserve"> E.g. CDMI, POSIX, SWIFT, etc.</w:t>
            </w:r>
          </w:p>
        </w:tc>
        <w:tc>
          <w:tcPr>
            <w:tcW w:w="978" w:type="dxa"/>
            <w:shd w:val="clear" w:color="auto" w:fill="808080" w:themeFill="background1" w:themeFillShade="80"/>
          </w:tcPr>
          <w:p w14:paraId="1D71E98E" w14:textId="77777777" w:rsidR="00FA7957" w:rsidRPr="004A5A07" w:rsidRDefault="00FA7957" w:rsidP="00FA7957">
            <w:pPr>
              <w:spacing w:after="0"/>
              <w:jc w:val="left"/>
              <w:rPr>
                <w:sz w:val="18"/>
                <w:szCs w:val="18"/>
              </w:rPr>
            </w:pPr>
          </w:p>
        </w:tc>
        <w:tc>
          <w:tcPr>
            <w:tcW w:w="978" w:type="dxa"/>
          </w:tcPr>
          <w:p w14:paraId="1A64798A" w14:textId="487D6DE1" w:rsidR="00FA7957" w:rsidRPr="004A5A07" w:rsidRDefault="00FA7957" w:rsidP="00FA7957">
            <w:pPr>
              <w:spacing w:after="0"/>
              <w:jc w:val="left"/>
              <w:rPr>
                <w:sz w:val="18"/>
                <w:szCs w:val="18"/>
              </w:rPr>
            </w:pPr>
            <w:r w:rsidRPr="004A5A07">
              <w:rPr>
                <w:sz w:val="18"/>
                <w:szCs w:val="18"/>
              </w:rPr>
              <w:t xml:space="preserve"> E.g. CDMI, POSIX, SWIFT, etc.</w:t>
            </w:r>
          </w:p>
        </w:tc>
        <w:tc>
          <w:tcPr>
            <w:tcW w:w="978" w:type="dxa"/>
            <w:shd w:val="clear" w:color="auto" w:fill="808080" w:themeFill="background1" w:themeFillShade="80"/>
          </w:tcPr>
          <w:p w14:paraId="657CCBAD" w14:textId="77777777" w:rsidR="00FA7957" w:rsidRPr="004A5A07" w:rsidRDefault="00FA7957" w:rsidP="00FA7957">
            <w:pPr>
              <w:spacing w:after="0"/>
              <w:jc w:val="left"/>
              <w:rPr>
                <w:sz w:val="18"/>
                <w:szCs w:val="18"/>
              </w:rPr>
            </w:pPr>
          </w:p>
        </w:tc>
        <w:tc>
          <w:tcPr>
            <w:tcW w:w="978" w:type="dxa"/>
            <w:shd w:val="clear" w:color="auto" w:fill="808080" w:themeFill="background1" w:themeFillShade="80"/>
          </w:tcPr>
          <w:p w14:paraId="7C72CF1F" w14:textId="77777777" w:rsidR="00FA7957" w:rsidRPr="004A5A07" w:rsidRDefault="00FA7957" w:rsidP="00FA7957">
            <w:pPr>
              <w:spacing w:after="0"/>
              <w:jc w:val="left"/>
              <w:rPr>
                <w:sz w:val="18"/>
                <w:szCs w:val="18"/>
              </w:rPr>
            </w:pPr>
          </w:p>
        </w:tc>
        <w:tc>
          <w:tcPr>
            <w:tcW w:w="979" w:type="dxa"/>
            <w:shd w:val="clear" w:color="auto" w:fill="808080" w:themeFill="background1" w:themeFillShade="80"/>
          </w:tcPr>
          <w:p w14:paraId="24F44640" w14:textId="77777777" w:rsidR="00FA7957" w:rsidRPr="004A5A07" w:rsidRDefault="00FA7957" w:rsidP="00FA7957">
            <w:pPr>
              <w:spacing w:after="0"/>
              <w:jc w:val="left"/>
              <w:rPr>
                <w:sz w:val="18"/>
                <w:szCs w:val="18"/>
              </w:rPr>
            </w:pPr>
          </w:p>
        </w:tc>
      </w:tr>
      <w:tr w:rsidR="00FA7957" w:rsidRPr="00FA7957" w14:paraId="3F943D1A" w14:textId="4A37D832" w:rsidTr="00690862">
        <w:tc>
          <w:tcPr>
            <w:tcW w:w="993" w:type="dxa"/>
            <w:shd w:val="clear" w:color="auto" w:fill="auto"/>
            <w:tcMar>
              <w:top w:w="100" w:type="dxa"/>
              <w:left w:w="100" w:type="dxa"/>
              <w:bottom w:w="100" w:type="dxa"/>
              <w:right w:w="100" w:type="dxa"/>
            </w:tcMar>
          </w:tcPr>
          <w:p w14:paraId="60844C02" w14:textId="5B0D8B08" w:rsidR="00FA7957" w:rsidRPr="004A5A07" w:rsidRDefault="00FA7957" w:rsidP="00FA7957">
            <w:pPr>
              <w:spacing w:after="0"/>
              <w:jc w:val="left"/>
              <w:rPr>
                <w:sz w:val="18"/>
                <w:szCs w:val="18"/>
              </w:rPr>
            </w:pPr>
            <w:r w:rsidRPr="004A5A07">
              <w:rPr>
                <w:sz w:val="18"/>
                <w:szCs w:val="18"/>
              </w:rPr>
              <w:t>Storage techno-logy</w:t>
            </w:r>
          </w:p>
        </w:tc>
        <w:tc>
          <w:tcPr>
            <w:tcW w:w="978" w:type="dxa"/>
            <w:shd w:val="clear" w:color="auto" w:fill="808080" w:themeFill="background1" w:themeFillShade="80"/>
            <w:tcMar>
              <w:top w:w="100" w:type="dxa"/>
              <w:left w:w="100" w:type="dxa"/>
              <w:bottom w:w="100" w:type="dxa"/>
              <w:right w:w="100" w:type="dxa"/>
            </w:tcMar>
          </w:tcPr>
          <w:p w14:paraId="4E64CDF4" w14:textId="64936FEF" w:rsidR="00FA7957" w:rsidRPr="004A5A07" w:rsidRDefault="00FA7957" w:rsidP="00FA7957">
            <w:pPr>
              <w:spacing w:after="0"/>
              <w:jc w:val="left"/>
              <w:rPr>
                <w:sz w:val="18"/>
                <w:szCs w:val="18"/>
              </w:rPr>
            </w:pPr>
          </w:p>
        </w:tc>
        <w:tc>
          <w:tcPr>
            <w:tcW w:w="978" w:type="dxa"/>
            <w:shd w:val="clear" w:color="auto" w:fill="auto"/>
            <w:tcMar>
              <w:top w:w="100" w:type="dxa"/>
              <w:left w:w="100" w:type="dxa"/>
              <w:bottom w:w="100" w:type="dxa"/>
              <w:right w:w="100" w:type="dxa"/>
            </w:tcMar>
          </w:tcPr>
          <w:p w14:paraId="0C3DF2B2" w14:textId="4CF7692E" w:rsidR="00FA7957" w:rsidRPr="004A5A07" w:rsidRDefault="00FA7957" w:rsidP="00FA7957">
            <w:pPr>
              <w:spacing w:after="0"/>
              <w:jc w:val="left"/>
              <w:rPr>
                <w:sz w:val="18"/>
                <w:szCs w:val="18"/>
              </w:rPr>
            </w:pPr>
            <w:r w:rsidRPr="004A5A07">
              <w:rPr>
                <w:sz w:val="18"/>
                <w:szCs w:val="18"/>
              </w:rPr>
              <w:t xml:space="preserve"> E.g. DPM, dCache, STORM,  etc.</w:t>
            </w:r>
          </w:p>
        </w:tc>
        <w:tc>
          <w:tcPr>
            <w:tcW w:w="978" w:type="dxa"/>
          </w:tcPr>
          <w:p w14:paraId="25C9E1E6" w14:textId="0DE9004C" w:rsidR="00FA7957" w:rsidRPr="004A5A07" w:rsidRDefault="00FA7957" w:rsidP="00FA7957">
            <w:pPr>
              <w:spacing w:after="0"/>
              <w:jc w:val="left"/>
              <w:rPr>
                <w:sz w:val="18"/>
                <w:szCs w:val="18"/>
              </w:rPr>
            </w:pPr>
            <w:r w:rsidRPr="004A5A07">
              <w:rPr>
                <w:sz w:val="18"/>
                <w:szCs w:val="18"/>
              </w:rPr>
              <w:t xml:space="preserve"> E.g. DPM, dCache, STORM,  etc.</w:t>
            </w:r>
          </w:p>
        </w:tc>
        <w:tc>
          <w:tcPr>
            <w:tcW w:w="978" w:type="dxa"/>
          </w:tcPr>
          <w:p w14:paraId="17CF2B24" w14:textId="30B2ADFE" w:rsidR="00FA7957" w:rsidRPr="004A5A07" w:rsidRDefault="00FA7957" w:rsidP="00FA7957">
            <w:pPr>
              <w:spacing w:after="0"/>
              <w:jc w:val="left"/>
              <w:rPr>
                <w:sz w:val="18"/>
                <w:szCs w:val="18"/>
              </w:rPr>
            </w:pPr>
            <w:r w:rsidRPr="004A5A07">
              <w:rPr>
                <w:sz w:val="18"/>
                <w:szCs w:val="18"/>
              </w:rPr>
              <w:t xml:space="preserve"> E.g. DPM, dCache, STORM,  etc.</w:t>
            </w:r>
          </w:p>
        </w:tc>
        <w:tc>
          <w:tcPr>
            <w:tcW w:w="978" w:type="dxa"/>
          </w:tcPr>
          <w:p w14:paraId="0ABAE45B" w14:textId="46D154B7" w:rsidR="00FA7957" w:rsidRPr="004A5A07" w:rsidRDefault="00FA7957" w:rsidP="00FA7957">
            <w:pPr>
              <w:spacing w:after="0"/>
              <w:jc w:val="left"/>
              <w:rPr>
                <w:sz w:val="18"/>
                <w:szCs w:val="18"/>
              </w:rPr>
            </w:pPr>
            <w:r w:rsidRPr="004A5A07">
              <w:rPr>
                <w:sz w:val="18"/>
                <w:szCs w:val="18"/>
              </w:rPr>
              <w:t xml:space="preserve"> E.g. DPM, dCache, STORM,  etc.</w:t>
            </w:r>
          </w:p>
        </w:tc>
        <w:tc>
          <w:tcPr>
            <w:tcW w:w="978" w:type="dxa"/>
            <w:shd w:val="clear" w:color="auto" w:fill="808080" w:themeFill="background1" w:themeFillShade="80"/>
          </w:tcPr>
          <w:p w14:paraId="13433347" w14:textId="77777777" w:rsidR="00FA7957" w:rsidRPr="004A5A07" w:rsidRDefault="00FA7957" w:rsidP="00FA7957">
            <w:pPr>
              <w:spacing w:after="0"/>
              <w:jc w:val="left"/>
              <w:rPr>
                <w:sz w:val="18"/>
                <w:szCs w:val="18"/>
              </w:rPr>
            </w:pPr>
          </w:p>
        </w:tc>
        <w:tc>
          <w:tcPr>
            <w:tcW w:w="978" w:type="dxa"/>
          </w:tcPr>
          <w:p w14:paraId="1A0497C6" w14:textId="0EED36CB" w:rsidR="00FA7957" w:rsidRPr="004A5A07" w:rsidRDefault="00FA7957" w:rsidP="00FA7957">
            <w:pPr>
              <w:spacing w:after="0"/>
              <w:jc w:val="left"/>
              <w:rPr>
                <w:sz w:val="18"/>
                <w:szCs w:val="18"/>
              </w:rPr>
            </w:pPr>
            <w:r w:rsidRPr="004A5A07">
              <w:rPr>
                <w:sz w:val="18"/>
                <w:szCs w:val="18"/>
              </w:rPr>
              <w:t xml:space="preserve"> E.g. DPM, dCache, STORM,  etc.</w:t>
            </w:r>
          </w:p>
        </w:tc>
        <w:tc>
          <w:tcPr>
            <w:tcW w:w="978" w:type="dxa"/>
            <w:shd w:val="clear" w:color="auto" w:fill="808080" w:themeFill="background1" w:themeFillShade="80"/>
          </w:tcPr>
          <w:p w14:paraId="01C0287D" w14:textId="77777777" w:rsidR="00FA7957" w:rsidRPr="004A5A07" w:rsidRDefault="00FA7957" w:rsidP="00FA7957">
            <w:pPr>
              <w:spacing w:after="0"/>
              <w:jc w:val="left"/>
              <w:rPr>
                <w:sz w:val="18"/>
                <w:szCs w:val="18"/>
              </w:rPr>
            </w:pPr>
          </w:p>
        </w:tc>
        <w:tc>
          <w:tcPr>
            <w:tcW w:w="978" w:type="dxa"/>
            <w:shd w:val="clear" w:color="auto" w:fill="808080" w:themeFill="background1" w:themeFillShade="80"/>
          </w:tcPr>
          <w:p w14:paraId="7839A7C5" w14:textId="77777777" w:rsidR="00FA7957" w:rsidRPr="004A5A07" w:rsidRDefault="00FA7957" w:rsidP="00FA7957">
            <w:pPr>
              <w:spacing w:after="0"/>
              <w:jc w:val="left"/>
              <w:rPr>
                <w:sz w:val="18"/>
                <w:szCs w:val="18"/>
              </w:rPr>
            </w:pPr>
          </w:p>
        </w:tc>
        <w:tc>
          <w:tcPr>
            <w:tcW w:w="979" w:type="dxa"/>
            <w:shd w:val="clear" w:color="auto" w:fill="808080" w:themeFill="background1" w:themeFillShade="80"/>
          </w:tcPr>
          <w:p w14:paraId="5B6DD2ED" w14:textId="77777777" w:rsidR="00FA7957" w:rsidRPr="004A5A07" w:rsidRDefault="00FA7957" w:rsidP="00FA7957">
            <w:pPr>
              <w:spacing w:after="0"/>
              <w:jc w:val="left"/>
              <w:rPr>
                <w:sz w:val="18"/>
                <w:szCs w:val="18"/>
              </w:rPr>
            </w:pPr>
          </w:p>
        </w:tc>
      </w:tr>
      <w:tr w:rsidR="00FA7957" w:rsidRPr="00FA7957" w14:paraId="6766EFE2" w14:textId="1F41A2FE" w:rsidTr="00690862">
        <w:tc>
          <w:tcPr>
            <w:tcW w:w="993" w:type="dxa"/>
            <w:shd w:val="clear" w:color="auto" w:fill="auto"/>
            <w:tcMar>
              <w:top w:w="100" w:type="dxa"/>
              <w:left w:w="100" w:type="dxa"/>
              <w:bottom w:w="100" w:type="dxa"/>
              <w:right w:w="100" w:type="dxa"/>
            </w:tcMar>
          </w:tcPr>
          <w:p w14:paraId="34F8EF41" w14:textId="319B9FD4" w:rsidR="00FA7957" w:rsidRPr="004A5A07" w:rsidRDefault="00FA7957" w:rsidP="00FA7957">
            <w:pPr>
              <w:spacing w:after="0"/>
              <w:jc w:val="left"/>
              <w:rPr>
                <w:sz w:val="18"/>
                <w:szCs w:val="18"/>
              </w:rPr>
            </w:pPr>
            <w:r w:rsidRPr="004A5A07">
              <w:rPr>
                <w:sz w:val="18"/>
                <w:szCs w:val="18"/>
              </w:rPr>
              <w:t>Duration</w:t>
            </w:r>
          </w:p>
        </w:tc>
        <w:tc>
          <w:tcPr>
            <w:tcW w:w="978" w:type="dxa"/>
            <w:shd w:val="clear" w:color="auto" w:fill="808080" w:themeFill="background1" w:themeFillShade="80"/>
            <w:tcMar>
              <w:top w:w="100" w:type="dxa"/>
              <w:left w:w="100" w:type="dxa"/>
              <w:bottom w:w="100" w:type="dxa"/>
              <w:right w:w="100" w:type="dxa"/>
            </w:tcMar>
          </w:tcPr>
          <w:p w14:paraId="4CFF5E2A" w14:textId="073A0ED3" w:rsidR="00FA7957" w:rsidRPr="004A5A07" w:rsidRDefault="00FA7957" w:rsidP="00FA7957">
            <w:pPr>
              <w:spacing w:after="0"/>
              <w:jc w:val="left"/>
              <w:rPr>
                <w:sz w:val="18"/>
                <w:szCs w:val="18"/>
              </w:rPr>
            </w:pPr>
          </w:p>
        </w:tc>
        <w:tc>
          <w:tcPr>
            <w:tcW w:w="978" w:type="dxa"/>
            <w:shd w:val="clear" w:color="auto" w:fill="auto"/>
            <w:tcMar>
              <w:top w:w="100" w:type="dxa"/>
              <w:left w:w="100" w:type="dxa"/>
              <w:bottom w:w="100" w:type="dxa"/>
              <w:right w:w="100" w:type="dxa"/>
            </w:tcMar>
          </w:tcPr>
          <w:p w14:paraId="7BCC4B05" w14:textId="4A8AF5AF" w:rsidR="00FA7957" w:rsidRPr="004A5A07" w:rsidRDefault="00FA7957" w:rsidP="00FA7957">
            <w:pPr>
              <w:spacing w:after="0"/>
              <w:jc w:val="left"/>
              <w:rPr>
                <w:sz w:val="18"/>
                <w:szCs w:val="18"/>
              </w:rPr>
            </w:pPr>
            <w:r w:rsidRPr="004A5A07">
              <w:rPr>
                <w:sz w:val="18"/>
                <w:szCs w:val="18"/>
              </w:rPr>
              <w:t>01 January 2018 – 31 May 2020</w:t>
            </w:r>
          </w:p>
        </w:tc>
        <w:tc>
          <w:tcPr>
            <w:tcW w:w="978" w:type="dxa"/>
          </w:tcPr>
          <w:p w14:paraId="11F4C3C9" w14:textId="3EBD18E2" w:rsidR="00FA7957" w:rsidRPr="004A5A07" w:rsidRDefault="00FA7957" w:rsidP="00FA7957">
            <w:pPr>
              <w:spacing w:after="0"/>
              <w:jc w:val="left"/>
              <w:rPr>
                <w:sz w:val="18"/>
                <w:szCs w:val="18"/>
              </w:rPr>
            </w:pPr>
            <w:r w:rsidRPr="004A5A07">
              <w:rPr>
                <w:sz w:val="18"/>
                <w:szCs w:val="18"/>
              </w:rPr>
              <w:t>01 April 2018 – 31 May 2020</w:t>
            </w:r>
          </w:p>
        </w:tc>
        <w:tc>
          <w:tcPr>
            <w:tcW w:w="978" w:type="dxa"/>
          </w:tcPr>
          <w:p w14:paraId="5939996E" w14:textId="66A3158F" w:rsidR="00FA7957" w:rsidRPr="004A5A07" w:rsidRDefault="00FA7957" w:rsidP="00FA7957">
            <w:pPr>
              <w:spacing w:after="0"/>
              <w:jc w:val="left"/>
              <w:rPr>
                <w:sz w:val="18"/>
                <w:szCs w:val="18"/>
              </w:rPr>
            </w:pPr>
            <w:r w:rsidRPr="004A5A07">
              <w:rPr>
                <w:sz w:val="18"/>
                <w:szCs w:val="18"/>
              </w:rPr>
              <w:t>16 April 2018 – 15 June 2020</w:t>
            </w:r>
          </w:p>
        </w:tc>
        <w:tc>
          <w:tcPr>
            <w:tcW w:w="978" w:type="dxa"/>
          </w:tcPr>
          <w:p w14:paraId="5D2356FC" w14:textId="67ABD375" w:rsidR="00FA7957" w:rsidRPr="004A5A07" w:rsidRDefault="00FA7957" w:rsidP="00FA7957">
            <w:pPr>
              <w:spacing w:after="0"/>
              <w:jc w:val="left"/>
              <w:rPr>
                <w:sz w:val="18"/>
                <w:szCs w:val="18"/>
              </w:rPr>
            </w:pPr>
            <w:r w:rsidRPr="004A5A07">
              <w:rPr>
                <w:sz w:val="18"/>
                <w:szCs w:val="18"/>
              </w:rPr>
              <w:t>01 October 2018 – 31 May 2020</w:t>
            </w:r>
          </w:p>
        </w:tc>
        <w:tc>
          <w:tcPr>
            <w:tcW w:w="978" w:type="dxa"/>
            <w:shd w:val="clear" w:color="auto" w:fill="808080" w:themeFill="background1" w:themeFillShade="80"/>
          </w:tcPr>
          <w:p w14:paraId="326194B0" w14:textId="77777777" w:rsidR="00FA7957" w:rsidRPr="004A5A07" w:rsidRDefault="00FA7957" w:rsidP="00FA7957">
            <w:pPr>
              <w:spacing w:after="0"/>
              <w:jc w:val="left"/>
              <w:rPr>
                <w:sz w:val="18"/>
                <w:szCs w:val="18"/>
              </w:rPr>
            </w:pPr>
          </w:p>
        </w:tc>
        <w:tc>
          <w:tcPr>
            <w:tcW w:w="978" w:type="dxa"/>
          </w:tcPr>
          <w:p w14:paraId="4103532C" w14:textId="3D5BCC5C" w:rsidR="00FA7957" w:rsidRPr="004A5A07" w:rsidRDefault="00FA7957" w:rsidP="00FA7957">
            <w:pPr>
              <w:spacing w:after="0"/>
              <w:jc w:val="left"/>
              <w:rPr>
                <w:sz w:val="18"/>
                <w:szCs w:val="18"/>
              </w:rPr>
            </w:pPr>
            <w:r w:rsidRPr="004A5A07">
              <w:rPr>
                <w:sz w:val="18"/>
                <w:szCs w:val="18"/>
              </w:rPr>
              <w:t>01 June 2019 – 31 May 2020</w:t>
            </w:r>
          </w:p>
        </w:tc>
        <w:tc>
          <w:tcPr>
            <w:tcW w:w="978" w:type="dxa"/>
            <w:shd w:val="clear" w:color="auto" w:fill="808080" w:themeFill="background1" w:themeFillShade="80"/>
          </w:tcPr>
          <w:p w14:paraId="36FEA100" w14:textId="77777777" w:rsidR="00FA7957" w:rsidRPr="004A5A07" w:rsidRDefault="00FA7957" w:rsidP="00FA7957">
            <w:pPr>
              <w:spacing w:after="0"/>
              <w:jc w:val="left"/>
              <w:rPr>
                <w:sz w:val="18"/>
                <w:szCs w:val="18"/>
              </w:rPr>
            </w:pPr>
          </w:p>
        </w:tc>
        <w:tc>
          <w:tcPr>
            <w:tcW w:w="978" w:type="dxa"/>
            <w:shd w:val="clear" w:color="auto" w:fill="808080" w:themeFill="background1" w:themeFillShade="80"/>
          </w:tcPr>
          <w:p w14:paraId="54E48A2D" w14:textId="77777777" w:rsidR="00FA7957" w:rsidRPr="004A5A07" w:rsidRDefault="00FA7957" w:rsidP="00FA7957">
            <w:pPr>
              <w:spacing w:after="0"/>
              <w:jc w:val="left"/>
              <w:rPr>
                <w:sz w:val="18"/>
                <w:szCs w:val="18"/>
              </w:rPr>
            </w:pPr>
          </w:p>
        </w:tc>
        <w:tc>
          <w:tcPr>
            <w:tcW w:w="979" w:type="dxa"/>
            <w:shd w:val="clear" w:color="auto" w:fill="808080" w:themeFill="background1" w:themeFillShade="80"/>
          </w:tcPr>
          <w:p w14:paraId="3416BC65" w14:textId="77777777" w:rsidR="00FA7957" w:rsidRPr="004A5A07" w:rsidRDefault="00FA7957" w:rsidP="00FA7957">
            <w:pPr>
              <w:spacing w:after="0"/>
              <w:jc w:val="left"/>
              <w:rPr>
                <w:sz w:val="18"/>
                <w:szCs w:val="18"/>
              </w:rPr>
            </w:pPr>
          </w:p>
        </w:tc>
      </w:tr>
      <w:tr w:rsidR="00FA7957" w:rsidRPr="00FA7957" w14:paraId="1F87E473" w14:textId="67464B87" w:rsidTr="00690862">
        <w:tc>
          <w:tcPr>
            <w:tcW w:w="993" w:type="dxa"/>
            <w:shd w:val="clear" w:color="auto" w:fill="auto"/>
            <w:tcMar>
              <w:top w:w="100" w:type="dxa"/>
              <w:left w:w="100" w:type="dxa"/>
              <w:bottom w:w="100" w:type="dxa"/>
              <w:right w:w="100" w:type="dxa"/>
            </w:tcMar>
          </w:tcPr>
          <w:p w14:paraId="730D8EAF" w14:textId="0F59238A" w:rsidR="00FA7957" w:rsidRPr="004A5A07" w:rsidRDefault="00FA7957" w:rsidP="00FA7957">
            <w:pPr>
              <w:spacing w:after="0"/>
              <w:jc w:val="left"/>
              <w:rPr>
                <w:sz w:val="18"/>
                <w:szCs w:val="18"/>
              </w:rPr>
            </w:pPr>
            <w:r w:rsidRPr="004A5A07">
              <w:rPr>
                <w:sz w:val="18"/>
                <w:szCs w:val="18"/>
              </w:rPr>
              <w:t xml:space="preserve">Payment </w:t>
            </w:r>
            <w:r w:rsidRPr="004A5A07">
              <w:rPr>
                <w:sz w:val="18"/>
                <w:szCs w:val="18"/>
              </w:rPr>
              <w:lastRenderedPageBreak/>
              <w:t>mode offer</w:t>
            </w:r>
          </w:p>
        </w:tc>
        <w:tc>
          <w:tcPr>
            <w:tcW w:w="978" w:type="dxa"/>
            <w:shd w:val="clear" w:color="auto" w:fill="808080" w:themeFill="background1" w:themeFillShade="80"/>
            <w:tcMar>
              <w:top w:w="100" w:type="dxa"/>
              <w:left w:w="100" w:type="dxa"/>
              <w:bottom w:w="100" w:type="dxa"/>
              <w:right w:w="100" w:type="dxa"/>
            </w:tcMar>
          </w:tcPr>
          <w:p w14:paraId="6A27CAC1" w14:textId="595776D0" w:rsidR="00FA7957" w:rsidRPr="004A5A07" w:rsidRDefault="00FA7957" w:rsidP="00FA7957">
            <w:pPr>
              <w:spacing w:after="0"/>
              <w:jc w:val="left"/>
              <w:rPr>
                <w:sz w:val="18"/>
                <w:szCs w:val="18"/>
              </w:rPr>
            </w:pPr>
          </w:p>
        </w:tc>
        <w:tc>
          <w:tcPr>
            <w:tcW w:w="978" w:type="dxa"/>
            <w:shd w:val="clear" w:color="auto" w:fill="auto"/>
            <w:tcMar>
              <w:top w:w="100" w:type="dxa"/>
              <w:left w:w="100" w:type="dxa"/>
              <w:bottom w:w="100" w:type="dxa"/>
              <w:right w:w="100" w:type="dxa"/>
            </w:tcMar>
          </w:tcPr>
          <w:p w14:paraId="139A3FA2" w14:textId="50000A99" w:rsidR="00FA7957" w:rsidRPr="004A5A07" w:rsidRDefault="00FA7957" w:rsidP="00FA7957">
            <w:pPr>
              <w:spacing w:after="0"/>
              <w:jc w:val="left"/>
              <w:rPr>
                <w:sz w:val="18"/>
                <w:szCs w:val="18"/>
              </w:rPr>
            </w:pPr>
            <w:r w:rsidRPr="004A5A07">
              <w:rPr>
                <w:sz w:val="18"/>
                <w:szCs w:val="18"/>
              </w:rPr>
              <w:t xml:space="preserve"> Pay-for-</w:t>
            </w:r>
            <w:r w:rsidRPr="004A5A07">
              <w:rPr>
                <w:sz w:val="18"/>
                <w:szCs w:val="18"/>
              </w:rPr>
              <w:lastRenderedPageBreak/>
              <w:t>use</w:t>
            </w:r>
          </w:p>
        </w:tc>
        <w:tc>
          <w:tcPr>
            <w:tcW w:w="978" w:type="dxa"/>
          </w:tcPr>
          <w:p w14:paraId="22EC518C" w14:textId="7770758F" w:rsidR="00FA7957" w:rsidRPr="004A5A07" w:rsidRDefault="00FA7957" w:rsidP="00FA7957">
            <w:pPr>
              <w:spacing w:after="0"/>
              <w:jc w:val="left"/>
              <w:rPr>
                <w:sz w:val="18"/>
                <w:szCs w:val="18"/>
              </w:rPr>
            </w:pPr>
            <w:r w:rsidRPr="004A5A07">
              <w:rPr>
                <w:sz w:val="18"/>
                <w:szCs w:val="18"/>
              </w:rPr>
              <w:lastRenderedPageBreak/>
              <w:t xml:space="preserve"> Pay-for-</w:t>
            </w:r>
            <w:r w:rsidRPr="004A5A07">
              <w:rPr>
                <w:sz w:val="18"/>
                <w:szCs w:val="18"/>
              </w:rPr>
              <w:lastRenderedPageBreak/>
              <w:t>use</w:t>
            </w:r>
          </w:p>
        </w:tc>
        <w:tc>
          <w:tcPr>
            <w:tcW w:w="978" w:type="dxa"/>
          </w:tcPr>
          <w:p w14:paraId="0C435045" w14:textId="05888384" w:rsidR="00FA7957" w:rsidRPr="004A5A07" w:rsidRDefault="00FA7957" w:rsidP="00FA7957">
            <w:pPr>
              <w:spacing w:after="0"/>
              <w:jc w:val="left"/>
              <w:rPr>
                <w:sz w:val="18"/>
                <w:szCs w:val="18"/>
              </w:rPr>
            </w:pPr>
            <w:r w:rsidRPr="004A5A07">
              <w:rPr>
                <w:sz w:val="18"/>
                <w:szCs w:val="18"/>
              </w:rPr>
              <w:lastRenderedPageBreak/>
              <w:t>Pay-for-</w:t>
            </w:r>
            <w:r w:rsidRPr="004A5A07">
              <w:rPr>
                <w:sz w:val="18"/>
                <w:szCs w:val="18"/>
              </w:rPr>
              <w:lastRenderedPageBreak/>
              <w:t>use</w:t>
            </w:r>
          </w:p>
        </w:tc>
        <w:tc>
          <w:tcPr>
            <w:tcW w:w="978" w:type="dxa"/>
          </w:tcPr>
          <w:p w14:paraId="66085D16" w14:textId="45DC2DAF" w:rsidR="00FA7957" w:rsidRPr="004A5A07" w:rsidRDefault="00FA7957" w:rsidP="00FA7957">
            <w:pPr>
              <w:spacing w:after="0"/>
              <w:jc w:val="left"/>
              <w:rPr>
                <w:sz w:val="18"/>
                <w:szCs w:val="18"/>
              </w:rPr>
            </w:pPr>
            <w:r w:rsidRPr="004A5A07">
              <w:rPr>
                <w:sz w:val="18"/>
                <w:szCs w:val="18"/>
              </w:rPr>
              <w:lastRenderedPageBreak/>
              <w:t xml:space="preserve"> Pay-for-</w:t>
            </w:r>
            <w:r w:rsidRPr="004A5A07">
              <w:rPr>
                <w:sz w:val="18"/>
                <w:szCs w:val="18"/>
              </w:rPr>
              <w:lastRenderedPageBreak/>
              <w:t>use</w:t>
            </w:r>
          </w:p>
        </w:tc>
        <w:tc>
          <w:tcPr>
            <w:tcW w:w="978" w:type="dxa"/>
            <w:shd w:val="clear" w:color="auto" w:fill="808080" w:themeFill="background1" w:themeFillShade="80"/>
          </w:tcPr>
          <w:p w14:paraId="4F5A119F" w14:textId="77777777" w:rsidR="00FA7957" w:rsidRPr="004A5A07" w:rsidRDefault="00FA7957" w:rsidP="00FA7957">
            <w:pPr>
              <w:spacing w:after="0"/>
              <w:jc w:val="left"/>
              <w:rPr>
                <w:sz w:val="18"/>
                <w:szCs w:val="18"/>
              </w:rPr>
            </w:pPr>
          </w:p>
        </w:tc>
        <w:tc>
          <w:tcPr>
            <w:tcW w:w="978" w:type="dxa"/>
          </w:tcPr>
          <w:p w14:paraId="41FF5BA7" w14:textId="05BBAB42" w:rsidR="00FA7957" w:rsidRPr="004A5A07" w:rsidRDefault="00FA7957" w:rsidP="00FA7957">
            <w:pPr>
              <w:spacing w:after="0"/>
              <w:jc w:val="left"/>
              <w:rPr>
                <w:sz w:val="18"/>
                <w:szCs w:val="18"/>
              </w:rPr>
            </w:pPr>
            <w:r w:rsidRPr="004A5A07">
              <w:rPr>
                <w:sz w:val="18"/>
                <w:szCs w:val="18"/>
              </w:rPr>
              <w:t xml:space="preserve"> Pay-for-</w:t>
            </w:r>
            <w:r w:rsidRPr="004A5A07">
              <w:rPr>
                <w:sz w:val="18"/>
                <w:szCs w:val="18"/>
              </w:rPr>
              <w:lastRenderedPageBreak/>
              <w:t>use</w:t>
            </w:r>
          </w:p>
        </w:tc>
        <w:tc>
          <w:tcPr>
            <w:tcW w:w="978" w:type="dxa"/>
            <w:shd w:val="clear" w:color="auto" w:fill="808080" w:themeFill="background1" w:themeFillShade="80"/>
          </w:tcPr>
          <w:p w14:paraId="1F0E3C58" w14:textId="77777777" w:rsidR="00FA7957" w:rsidRPr="004A5A07" w:rsidRDefault="00FA7957" w:rsidP="00FA7957">
            <w:pPr>
              <w:spacing w:after="0"/>
              <w:jc w:val="left"/>
              <w:rPr>
                <w:sz w:val="18"/>
                <w:szCs w:val="18"/>
              </w:rPr>
            </w:pPr>
          </w:p>
        </w:tc>
        <w:tc>
          <w:tcPr>
            <w:tcW w:w="978" w:type="dxa"/>
            <w:shd w:val="clear" w:color="auto" w:fill="808080" w:themeFill="background1" w:themeFillShade="80"/>
          </w:tcPr>
          <w:p w14:paraId="3281A4B0" w14:textId="77777777" w:rsidR="00FA7957" w:rsidRPr="004A5A07" w:rsidRDefault="00FA7957" w:rsidP="00FA7957">
            <w:pPr>
              <w:spacing w:after="0"/>
              <w:jc w:val="left"/>
              <w:rPr>
                <w:sz w:val="18"/>
                <w:szCs w:val="18"/>
              </w:rPr>
            </w:pPr>
          </w:p>
        </w:tc>
        <w:tc>
          <w:tcPr>
            <w:tcW w:w="979" w:type="dxa"/>
            <w:shd w:val="clear" w:color="auto" w:fill="808080" w:themeFill="background1" w:themeFillShade="80"/>
          </w:tcPr>
          <w:p w14:paraId="0ECC55E9" w14:textId="77777777" w:rsidR="00FA7957" w:rsidRPr="004A5A07" w:rsidRDefault="00FA7957" w:rsidP="00FA7957">
            <w:pPr>
              <w:spacing w:after="0"/>
              <w:jc w:val="left"/>
              <w:rPr>
                <w:sz w:val="18"/>
                <w:szCs w:val="18"/>
              </w:rPr>
            </w:pPr>
          </w:p>
        </w:tc>
      </w:tr>
      <w:tr w:rsidR="00FA7957" w:rsidRPr="00FA7957" w14:paraId="327CB855" w14:textId="50087348" w:rsidTr="00690862">
        <w:tc>
          <w:tcPr>
            <w:tcW w:w="993" w:type="dxa"/>
            <w:shd w:val="clear" w:color="auto" w:fill="auto"/>
            <w:tcMar>
              <w:top w:w="100" w:type="dxa"/>
              <w:left w:w="100" w:type="dxa"/>
              <w:bottom w:w="100" w:type="dxa"/>
              <w:right w:w="100" w:type="dxa"/>
            </w:tcMar>
          </w:tcPr>
          <w:p w14:paraId="3B53C4E7" w14:textId="654CB585" w:rsidR="00FA7957" w:rsidRPr="004A5A07" w:rsidRDefault="00FA7957" w:rsidP="00FA7957">
            <w:pPr>
              <w:spacing w:after="0"/>
              <w:jc w:val="left"/>
              <w:rPr>
                <w:sz w:val="18"/>
                <w:szCs w:val="18"/>
              </w:rPr>
            </w:pPr>
            <w:r w:rsidRPr="004A5A07">
              <w:rPr>
                <w:sz w:val="18"/>
                <w:szCs w:val="18"/>
              </w:rPr>
              <w:lastRenderedPageBreak/>
              <w:t>Allocation type</w:t>
            </w:r>
          </w:p>
        </w:tc>
        <w:tc>
          <w:tcPr>
            <w:tcW w:w="978" w:type="dxa"/>
            <w:shd w:val="clear" w:color="auto" w:fill="808080" w:themeFill="background1" w:themeFillShade="80"/>
            <w:tcMar>
              <w:top w:w="100" w:type="dxa"/>
              <w:left w:w="100" w:type="dxa"/>
              <w:bottom w:w="100" w:type="dxa"/>
              <w:right w:w="100" w:type="dxa"/>
            </w:tcMar>
          </w:tcPr>
          <w:p w14:paraId="17B5A371" w14:textId="0B75F251" w:rsidR="00FA7957" w:rsidRPr="004A5A07" w:rsidRDefault="00FA7957" w:rsidP="00FA7957">
            <w:pPr>
              <w:spacing w:after="0"/>
              <w:jc w:val="left"/>
              <w:rPr>
                <w:sz w:val="18"/>
                <w:szCs w:val="18"/>
              </w:rPr>
            </w:pPr>
          </w:p>
        </w:tc>
        <w:tc>
          <w:tcPr>
            <w:tcW w:w="978" w:type="dxa"/>
            <w:shd w:val="clear" w:color="auto" w:fill="auto"/>
            <w:tcMar>
              <w:top w:w="100" w:type="dxa"/>
              <w:left w:w="100" w:type="dxa"/>
              <w:bottom w:w="100" w:type="dxa"/>
              <w:right w:w="100" w:type="dxa"/>
            </w:tcMar>
          </w:tcPr>
          <w:p w14:paraId="2E4BF181" w14:textId="2CA3691F" w:rsidR="00FA7957" w:rsidRPr="004A5A07" w:rsidRDefault="00FA7957" w:rsidP="00FA7957">
            <w:pPr>
              <w:spacing w:after="0"/>
              <w:jc w:val="left"/>
              <w:rPr>
                <w:sz w:val="18"/>
                <w:szCs w:val="18"/>
              </w:rPr>
            </w:pPr>
            <w:r w:rsidRPr="004A5A07">
              <w:rPr>
                <w:sz w:val="18"/>
                <w:szCs w:val="18"/>
              </w:rPr>
              <w:t>Pledged</w:t>
            </w:r>
          </w:p>
        </w:tc>
        <w:tc>
          <w:tcPr>
            <w:tcW w:w="978" w:type="dxa"/>
          </w:tcPr>
          <w:p w14:paraId="4AC16A0C" w14:textId="305AD886" w:rsidR="00FA7957" w:rsidRPr="004A5A07" w:rsidRDefault="00FA7957" w:rsidP="00FA7957">
            <w:pPr>
              <w:spacing w:after="0"/>
              <w:jc w:val="left"/>
              <w:rPr>
                <w:sz w:val="18"/>
                <w:szCs w:val="18"/>
              </w:rPr>
            </w:pPr>
            <w:r w:rsidRPr="004A5A07">
              <w:rPr>
                <w:sz w:val="18"/>
                <w:szCs w:val="18"/>
              </w:rPr>
              <w:t>Pledged</w:t>
            </w:r>
          </w:p>
        </w:tc>
        <w:tc>
          <w:tcPr>
            <w:tcW w:w="978" w:type="dxa"/>
          </w:tcPr>
          <w:p w14:paraId="614AB3A4" w14:textId="03734DD1" w:rsidR="00FA7957" w:rsidRPr="004A5A07" w:rsidRDefault="00FA7957" w:rsidP="00FA7957">
            <w:pPr>
              <w:spacing w:after="0"/>
              <w:jc w:val="left"/>
              <w:rPr>
                <w:sz w:val="18"/>
                <w:szCs w:val="18"/>
              </w:rPr>
            </w:pPr>
            <w:r w:rsidRPr="004A5A07">
              <w:rPr>
                <w:sz w:val="18"/>
                <w:szCs w:val="18"/>
              </w:rPr>
              <w:t>Pledged</w:t>
            </w:r>
          </w:p>
        </w:tc>
        <w:tc>
          <w:tcPr>
            <w:tcW w:w="978" w:type="dxa"/>
          </w:tcPr>
          <w:p w14:paraId="02D346C5" w14:textId="2AD167EB" w:rsidR="00FA7957" w:rsidRPr="004A5A07" w:rsidRDefault="00FA7957" w:rsidP="00FA7957">
            <w:pPr>
              <w:spacing w:after="0"/>
              <w:jc w:val="left"/>
              <w:rPr>
                <w:sz w:val="18"/>
                <w:szCs w:val="18"/>
              </w:rPr>
            </w:pPr>
            <w:r w:rsidRPr="004A5A07">
              <w:rPr>
                <w:sz w:val="18"/>
                <w:szCs w:val="18"/>
              </w:rPr>
              <w:t>Pledged</w:t>
            </w:r>
          </w:p>
        </w:tc>
        <w:tc>
          <w:tcPr>
            <w:tcW w:w="978" w:type="dxa"/>
            <w:shd w:val="clear" w:color="auto" w:fill="808080" w:themeFill="background1" w:themeFillShade="80"/>
          </w:tcPr>
          <w:p w14:paraId="6394612F" w14:textId="77777777" w:rsidR="00FA7957" w:rsidRPr="004A5A07" w:rsidRDefault="00FA7957" w:rsidP="00FA7957">
            <w:pPr>
              <w:spacing w:after="0"/>
              <w:jc w:val="left"/>
              <w:rPr>
                <w:sz w:val="18"/>
                <w:szCs w:val="18"/>
              </w:rPr>
            </w:pPr>
          </w:p>
        </w:tc>
        <w:tc>
          <w:tcPr>
            <w:tcW w:w="978" w:type="dxa"/>
          </w:tcPr>
          <w:p w14:paraId="50B6C397" w14:textId="0BA5C18C" w:rsidR="00FA7957" w:rsidRPr="004A5A07" w:rsidRDefault="00FA7957" w:rsidP="00FA7957">
            <w:pPr>
              <w:spacing w:after="0"/>
              <w:jc w:val="left"/>
              <w:rPr>
                <w:sz w:val="18"/>
                <w:szCs w:val="18"/>
              </w:rPr>
            </w:pPr>
            <w:r w:rsidRPr="004A5A07">
              <w:rPr>
                <w:sz w:val="18"/>
                <w:szCs w:val="18"/>
              </w:rPr>
              <w:t>Pledged</w:t>
            </w:r>
          </w:p>
        </w:tc>
        <w:tc>
          <w:tcPr>
            <w:tcW w:w="978" w:type="dxa"/>
            <w:shd w:val="clear" w:color="auto" w:fill="808080" w:themeFill="background1" w:themeFillShade="80"/>
          </w:tcPr>
          <w:p w14:paraId="7415158F" w14:textId="77777777" w:rsidR="00FA7957" w:rsidRPr="004A5A07" w:rsidRDefault="00FA7957" w:rsidP="00FA7957">
            <w:pPr>
              <w:spacing w:after="0"/>
              <w:jc w:val="left"/>
              <w:rPr>
                <w:sz w:val="18"/>
                <w:szCs w:val="18"/>
              </w:rPr>
            </w:pPr>
          </w:p>
        </w:tc>
        <w:tc>
          <w:tcPr>
            <w:tcW w:w="978" w:type="dxa"/>
            <w:shd w:val="clear" w:color="auto" w:fill="808080" w:themeFill="background1" w:themeFillShade="80"/>
          </w:tcPr>
          <w:p w14:paraId="00FB284B" w14:textId="77777777" w:rsidR="00FA7957" w:rsidRPr="004A5A07" w:rsidRDefault="00FA7957" w:rsidP="00FA7957">
            <w:pPr>
              <w:spacing w:after="0"/>
              <w:jc w:val="left"/>
              <w:rPr>
                <w:sz w:val="18"/>
                <w:szCs w:val="18"/>
              </w:rPr>
            </w:pPr>
          </w:p>
        </w:tc>
        <w:tc>
          <w:tcPr>
            <w:tcW w:w="979" w:type="dxa"/>
            <w:shd w:val="clear" w:color="auto" w:fill="808080" w:themeFill="background1" w:themeFillShade="80"/>
          </w:tcPr>
          <w:p w14:paraId="6F3B6E5D" w14:textId="77777777" w:rsidR="00FA7957" w:rsidRPr="004A5A07" w:rsidRDefault="00FA7957" w:rsidP="00FA7957">
            <w:pPr>
              <w:spacing w:after="0"/>
              <w:jc w:val="left"/>
              <w:rPr>
                <w:sz w:val="18"/>
                <w:szCs w:val="18"/>
              </w:rPr>
            </w:pPr>
          </w:p>
        </w:tc>
      </w:tr>
      <w:tr w:rsidR="00FA7957" w:rsidRPr="00FA7957" w14:paraId="3D43341F" w14:textId="05F940DE" w:rsidTr="00690862">
        <w:trPr>
          <w:trHeight w:val="420"/>
        </w:trPr>
        <w:tc>
          <w:tcPr>
            <w:tcW w:w="10774" w:type="dxa"/>
            <w:gridSpan w:val="11"/>
            <w:shd w:val="clear" w:color="auto" w:fill="B8CCE4"/>
            <w:tcMar>
              <w:top w:w="100" w:type="dxa"/>
              <w:left w:w="100" w:type="dxa"/>
              <w:bottom w:w="100" w:type="dxa"/>
              <w:right w:w="100" w:type="dxa"/>
            </w:tcMar>
          </w:tcPr>
          <w:p w14:paraId="3B1B6F3E" w14:textId="4DC03E5B" w:rsidR="00FA7957" w:rsidRPr="004A5A07" w:rsidRDefault="00FA7957" w:rsidP="00FA7957">
            <w:pPr>
              <w:spacing w:after="0"/>
              <w:jc w:val="left"/>
              <w:rPr>
                <w:b/>
                <w:sz w:val="18"/>
                <w:szCs w:val="18"/>
              </w:rPr>
            </w:pPr>
            <w:r w:rsidRPr="004A5A07">
              <w:rPr>
                <w:b/>
                <w:sz w:val="18"/>
                <w:szCs w:val="18"/>
              </w:rPr>
              <w:t>Virtual Organisation</w:t>
            </w:r>
          </w:p>
        </w:tc>
      </w:tr>
      <w:tr w:rsidR="00FA7957" w:rsidRPr="00FA7957" w14:paraId="430C27DB" w14:textId="26878394" w:rsidTr="00690862">
        <w:tc>
          <w:tcPr>
            <w:tcW w:w="993" w:type="dxa"/>
            <w:shd w:val="clear" w:color="auto" w:fill="auto"/>
            <w:tcMar>
              <w:top w:w="100" w:type="dxa"/>
              <w:left w:w="100" w:type="dxa"/>
              <w:bottom w:w="100" w:type="dxa"/>
              <w:right w:w="100" w:type="dxa"/>
            </w:tcMar>
          </w:tcPr>
          <w:p w14:paraId="56336CFE" w14:textId="77777777" w:rsidR="00FA7957" w:rsidRPr="004A5A07" w:rsidRDefault="00FA7957" w:rsidP="00FA7957">
            <w:pPr>
              <w:spacing w:after="0"/>
              <w:jc w:val="left"/>
              <w:rPr>
                <w:sz w:val="18"/>
                <w:szCs w:val="18"/>
              </w:rPr>
            </w:pPr>
            <w:r w:rsidRPr="004A5A07">
              <w:rPr>
                <w:sz w:val="18"/>
                <w:szCs w:val="18"/>
              </w:rPr>
              <w:t>Supported VOs:</w:t>
            </w:r>
          </w:p>
        </w:tc>
        <w:tc>
          <w:tcPr>
            <w:tcW w:w="9781" w:type="dxa"/>
            <w:gridSpan w:val="10"/>
            <w:shd w:val="clear" w:color="auto" w:fill="auto"/>
            <w:tcMar>
              <w:top w:w="100" w:type="dxa"/>
              <w:left w:w="100" w:type="dxa"/>
              <w:bottom w:w="100" w:type="dxa"/>
              <w:right w:w="100" w:type="dxa"/>
            </w:tcMar>
          </w:tcPr>
          <w:p w14:paraId="37CF8761" w14:textId="5C3B02DC" w:rsidR="00FA7957" w:rsidRPr="004A5A07" w:rsidRDefault="00FA7957" w:rsidP="00FA7957">
            <w:pPr>
              <w:spacing w:after="0"/>
              <w:jc w:val="left"/>
              <w:rPr>
                <w:sz w:val="18"/>
                <w:szCs w:val="18"/>
              </w:rPr>
            </w:pPr>
            <w:r w:rsidRPr="004A5A07">
              <w:rPr>
                <w:sz w:val="18"/>
                <w:szCs w:val="18"/>
              </w:rPr>
              <w:t>vo.nextgeoss.eu</w:t>
            </w:r>
          </w:p>
        </w:tc>
      </w:tr>
      <w:tr w:rsidR="00FA7957" w:rsidRPr="00FA7957" w14:paraId="321C4BBA" w14:textId="2F895A13" w:rsidTr="00690862">
        <w:tc>
          <w:tcPr>
            <w:tcW w:w="993" w:type="dxa"/>
            <w:shd w:val="clear" w:color="auto" w:fill="auto"/>
            <w:tcMar>
              <w:top w:w="100" w:type="dxa"/>
              <w:left w:w="100" w:type="dxa"/>
              <w:bottom w:w="100" w:type="dxa"/>
              <w:right w:w="100" w:type="dxa"/>
            </w:tcMar>
          </w:tcPr>
          <w:p w14:paraId="4461D5E0" w14:textId="77777777" w:rsidR="00FA7957" w:rsidRPr="004A5A07" w:rsidRDefault="00FA7957" w:rsidP="00FA7957">
            <w:pPr>
              <w:spacing w:after="0"/>
              <w:jc w:val="left"/>
              <w:rPr>
                <w:sz w:val="18"/>
                <w:szCs w:val="18"/>
              </w:rPr>
            </w:pPr>
            <w:r w:rsidRPr="004A5A07">
              <w:rPr>
                <w:sz w:val="18"/>
                <w:szCs w:val="18"/>
              </w:rPr>
              <w:t>VO ID card:</w:t>
            </w:r>
          </w:p>
        </w:tc>
        <w:tc>
          <w:tcPr>
            <w:tcW w:w="9781" w:type="dxa"/>
            <w:gridSpan w:val="10"/>
            <w:shd w:val="clear" w:color="auto" w:fill="auto"/>
            <w:tcMar>
              <w:top w:w="100" w:type="dxa"/>
              <w:left w:w="100" w:type="dxa"/>
              <w:bottom w:w="100" w:type="dxa"/>
              <w:right w:w="100" w:type="dxa"/>
            </w:tcMar>
          </w:tcPr>
          <w:p w14:paraId="43514978" w14:textId="7F74EA5B" w:rsidR="00FA7957" w:rsidRPr="004A5A07" w:rsidRDefault="00EE70C2" w:rsidP="00FA7957">
            <w:pPr>
              <w:spacing w:after="0"/>
              <w:jc w:val="left"/>
              <w:rPr>
                <w:sz w:val="18"/>
                <w:szCs w:val="18"/>
              </w:rPr>
            </w:pPr>
            <w:hyperlink r:id="rId34" w:history="1">
              <w:r w:rsidR="00FA7957" w:rsidRPr="004A5A07">
                <w:rPr>
                  <w:rStyle w:val="Hyperlink"/>
                  <w:sz w:val="18"/>
                  <w:szCs w:val="18"/>
                </w:rPr>
                <w:t>https://operations-portal.egi.eu/vo/view/voname/vo.nextgeoss.eu</w:t>
              </w:r>
            </w:hyperlink>
            <w:r w:rsidR="00FA7957" w:rsidRPr="004A5A07">
              <w:rPr>
                <w:sz w:val="18"/>
                <w:szCs w:val="18"/>
              </w:rPr>
              <w:t xml:space="preserve"> </w:t>
            </w:r>
          </w:p>
        </w:tc>
      </w:tr>
      <w:tr w:rsidR="00FA7957" w:rsidRPr="00FA7957" w14:paraId="067758E0" w14:textId="207C4DC6" w:rsidTr="00690862">
        <w:tc>
          <w:tcPr>
            <w:tcW w:w="993" w:type="dxa"/>
            <w:shd w:val="clear" w:color="auto" w:fill="auto"/>
            <w:tcMar>
              <w:top w:w="100" w:type="dxa"/>
              <w:left w:w="100" w:type="dxa"/>
              <w:bottom w:w="100" w:type="dxa"/>
              <w:right w:w="100" w:type="dxa"/>
            </w:tcMar>
          </w:tcPr>
          <w:p w14:paraId="0291EA54" w14:textId="77777777" w:rsidR="00FA7957" w:rsidRPr="004A5A07" w:rsidRDefault="00FA7957" w:rsidP="00FA7957">
            <w:pPr>
              <w:spacing w:after="0"/>
              <w:jc w:val="left"/>
              <w:rPr>
                <w:sz w:val="18"/>
                <w:szCs w:val="18"/>
              </w:rPr>
            </w:pPr>
            <w:r w:rsidRPr="004A5A07">
              <w:rPr>
                <w:sz w:val="18"/>
                <w:szCs w:val="18"/>
              </w:rPr>
              <w:t>VO-wide list:</w:t>
            </w:r>
          </w:p>
        </w:tc>
        <w:tc>
          <w:tcPr>
            <w:tcW w:w="9781" w:type="dxa"/>
            <w:gridSpan w:val="10"/>
            <w:shd w:val="clear" w:color="auto" w:fill="auto"/>
            <w:tcMar>
              <w:top w:w="100" w:type="dxa"/>
              <w:left w:w="100" w:type="dxa"/>
              <w:bottom w:w="100" w:type="dxa"/>
              <w:right w:w="100" w:type="dxa"/>
            </w:tcMar>
          </w:tcPr>
          <w:p w14:paraId="5BC05BDA" w14:textId="1D4EC7E6" w:rsidR="00FA7957" w:rsidRPr="004A5A07" w:rsidRDefault="00EE70C2" w:rsidP="00FA7957">
            <w:pPr>
              <w:spacing w:after="0"/>
              <w:jc w:val="left"/>
              <w:rPr>
                <w:sz w:val="18"/>
                <w:szCs w:val="18"/>
              </w:rPr>
            </w:pPr>
            <w:hyperlink r:id="rId35" w:history="1">
              <w:r w:rsidR="00FA7957" w:rsidRPr="004A5A07">
                <w:rPr>
                  <w:rStyle w:val="Hyperlink"/>
                  <w:sz w:val="18"/>
                  <w:szCs w:val="18"/>
                </w:rPr>
                <w:t>https://appdb.egi.eu/store/vo/vo.nextgeoss.eu</w:t>
              </w:r>
            </w:hyperlink>
            <w:r w:rsidR="00FA7957" w:rsidRPr="004A5A07">
              <w:rPr>
                <w:sz w:val="18"/>
                <w:szCs w:val="18"/>
              </w:rPr>
              <w:t xml:space="preserve"> </w:t>
            </w:r>
          </w:p>
        </w:tc>
      </w:tr>
    </w:tbl>
    <w:p w14:paraId="11E9F6D3" w14:textId="77777777" w:rsidR="003B3E2E" w:rsidRPr="00FA7957" w:rsidRDefault="003B3E2E" w:rsidP="00FA7957">
      <w:pPr>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281724">
      <w:pPr>
        <w:pStyle w:val="ListParagraph"/>
        <w:numPr>
          <w:ilvl w:val="0"/>
          <w:numId w:val="3"/>
        </w:numPr>
      </w:pPr>
      <w:r>
        <w:t>Accounting</w:t>
      </w:r>
      <w:r w:rsidR="00E5142D">
        <w:rPr>
          <w:rStyle w:val="FootnoteReference"/>
        </w:rPr>
        <w:footnoteReference w:id="3"/>
      </w:r>
    </w:p>
    <w:p w14:paraId="2A06D870" w14:textId="7CA806CB" w:rsidR="006B45F3" w:rsidRDefault="0059011D" w:rsidP="00281724">
      <w:pPr>
        <w:pStyle w:val="ListParagraph"/>
        <w:numPr>
          <w:ilvl w:val="0"/>
          <w:numId w:val="3"/>
        </w:numPr>
      </w:pPr>
      <w:r>
        <w:t>Service Monitoring</w:t>
      </w:r>
      <w:r w:rsidR="00E5142D">
        <w:rPr>
          <w:rStyle w:val="FootnoteReference"/>
        </w:rPr>
        <w:footnoteReference w:id="4"/>
      </w:r>
      <w:r>
        <w:t xml:space="preserve"> (</w:t>
      </w:r>
      <w:r w:rsidR="004A5A07">
        <w:t>by EGI Operations team</w:t>
      </w:r>
      <w:r>
        <w:t>)</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6105CAA2" w:rsidR="0059011D" w:rsidRDefault="0059011D" w:rsidP="00281724">
      <w:pPr>
        <w:pStyle w:val="ListParagraph"/>
        <w:numPr>
          <w:ilvl w:val="0"/>
          <w:numId w:val="4"/>
        </w:numPr>
      </w:pPr>
      <w:r>
        <w:t xml:space="preserve">Monitoring of </w:t>
      </w:r>
      <w:r w:rsidR="00FA7957">
        <w:t>vo.nextgeoss.eu</w:t>
      </w:r>
    </w:p>
    <w:p w14:paraId="26167D00" w14:textId="046CB894" w:rsidR="0059011D" w:rsidRDefault="0059011D" w:rsidP="00281724">
      <w:pPr>
        <w:pStyle w:val="ListParagraph"/>
        <w:numPr>
          <w:ilvl w:val="0"/>
          <w:numId w:val="4"/>
        </w:numPr>
      </w:pPr>
      <w:r>
        <w:t>Monitoring of services provided by the Customer on agreed resources</w:t>
      </w:r>
    </w:p>
    <w:p w14:paraId="6F9A42AE" w14:textId="6EE21A7C" w:rsidR="00227F47" w:rsidRPr="00D065EF" w:rsidRDefault="00176CC7" w:rsidP="00CE1F5A">
      <w:pPr>
        <w:pStyle w:val="Heading1"/>
      </w:pPr>
      <w:bookmarkStart w:id="2" w:name="_Toc531009087"/>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1724">
      <w:pPr>
        <w:pStyle w:val="ListParagraph"/>
        <w:numPr>
          <w:ilvl w:val="0"/>
          <w:numId w:val="5"/>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281724">
      <w:pPr>
        <w:pStyle w:val="ListParagraph"/>
        <w:numPr>
          <w:ilvl w:val="0"/>
          <w:numId w:val="5"/>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531009088"/>
      <w:r>
        <w:lastRenderedPageBreak/>
        <w:t>Support</w:t>
      </w:r>
      <w:bookmarkEnd w:id="3"/>
    </w:p>
    <w:p w14:paraId="71ED447F" w14:textId="6AE4ECB0" w:rsidR="00176CC7" w:rsidRDefault="00176CC7" w:rsidP="00176CC7">
      <w:r>
        <w:t>Support is prov</w:t>
      </w:r>
      <w:r w:rsidR="00884A91">
        <w:t>ided via EGI Service Desk</w:t>
      </w:r>
      <w:r w:rsidR="00884A91">
        <w:rPr>
          <w:rStyle w:val="FootnoteReference"/>
        </w:rPr>
        <w:footnoteReference w:id="7"/>
      </w:r>
      <w:r>
        <w:t>. Access requires a valid X.509 or the login via a</w:t>
      </w:r>
      <w:r w:rsidR="005B56A1">
        <w:t>n</w:t>
      </w:r>
      <w:r>
        <w:t xml:space="preserve"> EGI SSO account</w:t>
      </w:r>
      <w:r>
        <w:rPr>
          <w:rStyle w:val="FootnoteReference"/>
        </w:rPr>
        <w:footnoteReference w:id="8"/>
      </w:r>
      <w:r>
        <w:t>. Support is available between:</w:t>
      </w:r>
    </w:p>
    <w:p w14:paraId="3669C10F" w14:textId="29A34748" w:rsidR="00176CC7" w:rsidRDefault="00176CC7" w:rsidP="00281724">
      <w:pPr>
        <w:pStyle w:val="ListParagraph"/>
        <w:numPr>
          <w:ilvl w:val="0"/>
          <w:numId w:val="6"/>
        </w:numPr>
      </w:pPr>
      <w:r>
        <w:t xml:space="preserve">Monday </w:t>
      </w:r>
      <w:r w:rsidR="005F1B1D">
        <w:t>to</w:t>
      </w:r>
      <w:r>
        <w:t xml:space="preserve"> Friday.</w:t>
      </w:r>
    </w:p>
    <w:p w14:paraId="12203F22" w14:textId="663003C5" w:rsidR="00176CC7" w:rsidRDefault="00176CC7" w:rsidP="00281724">
      <w:pPr>
        <w:pStyle w:val="ListParagraph"/>
        <w:numPr>
          <w:ilvl w:val="0"/>
          <w:numId w:val="6"/>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531009089"/>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531009090"/>
      <w:r w:rsidRPr="00176CC7">
        <w:lastRenderedPageBreak/>
        <w:t>Service requests</w:t>
      </w:r>
      <w:bookmarkEnd w:id="6"/>
    </w:p>
    <w:p w14:paraId="1CC5F3EF" w14:textId="7BA9BCC9" w:rsidR="00876CB0" w:rsidRPr="00B97954" w:rsidRDefault="00176CC7" w:rsidP="00176CC7">
      <w:r w:rsidRPr="00B97954">
        <w:t>In addition to resolving incidents, standard service requests (</w:t>
      </w:r>
      <w:hyperlink r:id="rId3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531009091"/>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281724">
      <w:pPr>
        <w:pStyle w:val="ListParagraph"/>
        <w:numPr>
          <w:ilvl w:val="0"/>
          <w:numId w:val="7"/>
        </w:numPr>
      </w:pPr>
      <w:r w:rsidRPr="00B63C90">
        <w:t xml:space="preserve">Defined as the ability of a service to fulfil its intended function at a specific time or over a calendar month. </w:t>
      </w:r>
    </w:p>
    <w:p w14:paraId="76F6573C" w14:textId="5FBD42D2" w:rsidR="006B45F3" w:rsidRDefault="00176CC7" w:rsidP="00281724">
      <w:pPr>
        <w:pStyle w:val="ListParagraph"/>
        <w:numPr>
          <w:ilvl w:val="0"/>
          <w:numId w:val="7"/>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7AB96201" w14:textId="2FE57F76" w:rsidR="0096720D" w:rsidRPr="004A5A07" w:rsidRDefault="0096720D" w:rsidP="0096720D">
      <w:pPr>
        <w:pStyle w:val="ListParagraph"/>
        <w:numPr>
          <w:ilvl w:val="1"/>
          <w:numId w:val="7"/>
        </w:numPr>
      </w:pPr>
      <w:r w:rsidRPr="004A5A07">
        <w:t>Cloud Compute: 90%</w:t>
      </w:r>
    </w:p>
    <w:p w14:paraId="76F623D9" w14:textId="6476176A" w:rsidR="00C43B5D" w:rsidRPr="004A5A07" w:rsidRDefault="00C43B5D" w:rsidP="00C43B5D">
      <w:pPr>
        <w:pStyle w:val="ListParagraph"/>
        <w:numPr>
          <w:ilvl w:val="2"/>
          <w:numId w:val="7"/>
        </w:numPr>
      </w:pPr>
      <w:r w:rsidRPr="004A5A07">
        <w:t>100%IT: 90%</w:t>
      </w:r>
    </w:p>
    <w:p w14:paraId="5BCA2927" w14:textId="71D1FB3E" w:rsidR="00C43B5D" w:rsidRPr="004A5A07" w:rsidRDefault="00C43B5D" w:rsidP="00C43B5D">
      <w:pPr>
        <w:pStyle w:val="ListParagraph"/>
        <w:numPr>
          <w:ilvl w:val="2"/>
          <w:numId w:val="7"/>
        </w:numPr>
      </w:pPr>
      <w:r w:rsidRPr="004A5A07">
        <w:t>CESGA: 90%</w:t>
      </w:r>
    </w:p>
    <w:p w14:paraId="7599979A" w14:textId="223255DA" w:rsidR="00C43B5D" w:rsidRPr="004A5A07" w:rsidRDefault="00C43B5D" w:rsidP="00C43B5D">
      <w:pPr>
        <w:pStyle w:val="ListParagraph"/>
        <w:numPr>
          <w:ilvl w:val="2"/>
          <w:numId w:val="7"/>
        </w:numPr>
      </w:pPr>
      <w:r w:rsidRPr="004A5A07">
        <w:t>CESNET-MCC: 90%</w:t>
      </w:r>
    </w:p>
    <w:p w14:paraId="2059F85E" w14:textId="4A3C06AD" w:rsidR="00C43B5D" w:rsidRPr="004A5A07" w:rsidRDefault="00C43B5D" w:rsidP="00C43B5D">
      <w:pPr>
        <w:pStyle w:val="ListParagraph"/>
        <w:numPr>
          <w:ilvl w:val="2"/>
          <w:numId w:val="7"/>
        </w:numPr>
      </w:pPr>
      <w:r w:rsidRPr="004A5A07">
        <w:t>IFCA-LCG2: 90%</w:t>
      </w:r>
    </w:p>
    <w:p w14:paraId="3699E6B8" w14:textId="4DE4ED76" w:rsidR="00C43B5D" w:rsidRPr="004A5A07" w:rsidRDefault="00C43B5D" w:rsidP="00C43B5D">
      <w:pPr>
        <w:pStyle w:val="ListParagraph"/>
        <w:numPr>
          <w:ilvl w:val="2"/>
          <w:numId w:val="7"/>
        </w:numPr>
      </w:pPr>
      <w:r w:rsidRPr="004A5A07">
        <w:t>IISAS-FedCloud: 90%</w:t>
      </w:r>
    </w:p>
    <w:p w14:paraId="49350001" w14:textId="7D6E1FAE" w:rsidR="00C43B5D" w:rsidRPr="004A5A07" w:rsidRDefault="00C43B5D" w:rsidP="00C43B5D">
      <w:pPr>
        <w:pStyle w:val="ListParagraph"/>
        <w:numPr>
          <w:ilvl w:val="2"/>
          <w:numId w:val="7"/>
        </w:numPr>
      </w:pPr>
      <w:r w:rsidRPr="004A5A07">
        <w:t>RECAS-BARI: 90%</w:t>
      </w:r>
    </w:p>
    <w:p w14:paraId="13DDECDF" w14:textId="04C24C87" w:rsidR="0096720D" w:rsidRPr="004A5A07" w:rsidRDefault="0096720D" w:rsidP="0096720D">
      <w:pPr>
        <w:pStyle w:val="ListParagraph"/>
        <w:numPr>
          <w:ilvl w:val="1"/>
          <w:numId w:val="7"/>
        </w:numPr>
      </w:pPr>
      <w:r w:rsidRPr="004A5A07">
        <w:t>Online Storage: 90%</w:t>
      </w:r>
    </w:p>
    <w:p w14:paraId="47D49D73" w14:textId="0014455F" w:rsidR="00C43B5D" w:rsidRPr="004A5A07" w:rsidRDefault="00C43B5D" w:rsidP="00C43B5D">
      <w:pPr>
        <w:pStyle w:val="ListParagraph"/>
        <w:numPr>
          <w:ilvl w:val="2"/>
          <w:numId w:val="7"/>
        </w:numPr>
      </w:pPr>
      <w:r w:rsidRPr="004A5A07">
        <w:t>100%IT: 90%</w:t>
      </w:r>
    </w:p>
    <w:p w14:paraId="24B5F154" w14:textId="51CF6CD4" w:rsidR="00C43B5D" w:rsidRPr="004A5A07" w:rsidRDefault="00C43B5D" w:rsidP="00C43B5D">
      <w:pPr>
        <w:pStyle w:val="ListParagraph"/>
        <w:numPr>
          <w:ilvl w:val="2"/>
          <w:numId w:val="7"/>
        </w:numPr>
      </w:pPr>
      <w:r w:rsidRPr="004A5A07">
        <w:t>CESNETT-MCC: 90%</w:t>
      </w:r>
    </w:p>
    <w:p w14:paraId="2CFE8354" w14:textId="5B22243A" w:rsidR="00C43B5D" w:rsidRPr="004A5A07" w:rsidRDefault="00C43B5D" w:rsidP="00C43B5D">
      <w:pPr>
        <w:pStyle w:val="ListParagraph"/>
        <w:numPr>
          <w:ilvl w:val="2"/>
          <w:numId w:val="7"/>
        </w:numPr>
      </w:pPr>
      <w:r w:rsidRPr="004A5A07">
        <w:t>IISAS-FedCloud: 90%</w:t>
      </w:r>
    </w:p>
    <w:p w14:paraId="165F252E" w14:textId="3898547B" w:rsidR="00C43B5D" w:rsidRPr="004A5A07" w:rsidRDefault="00C43B5D" w:rsidP="00C43B5D">
      <w:pPr>
        <w:pStyle w:val="ListParagraph"/>
        <w:numPr>
          <w:ilvl w:val="2"/>
          <w:numId w:val="7"/>
        </w:numPr>
      </w:pPr>
      <w:r w:rsidRPr="004A5A07">
        <w:t>RECAS-BARI: 90%</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281724">
      <w:pPr>
        <w:pStyle w:val="ListParagraph"/>
        <w:numPr>
          <w:ilvl w:val="0"/>
          <w:numId w:val="8"/>
        </w:numPr>
      </w:pPr>
      <w:r w:rsidRPr="00D00DDB">
        <w:t>Defined as the ability of a service to fulfil its intended function at a specific time or over a calendar month, excluding scheduled maintenance periods.</w:t>
      </w:r>
      <w:r w:rsidRPr="00D00DDB" w:rsidDel="00480B0E">
        <w:t xml:space="preserve"> </w:t>
      </w:r>
    </w:p>
    <w:p w14:paraId="70D6F64B" w14:textId="76910C5B" w:rsidR="003B3E2E" w:rsidRDefault="00176CC7" w:rsidP="0096720D">
      <w:pPr>
        <w:pStyle w:val="ListParagraph"/>
        <w:numPr>
          <w:ilvl w:val="0"/>
          <w:numId w:val="8"/>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3593E616" w14:textId="5380F97F" w:rsidR="0096720D" w:rsidRPr="004A5A07" w:rsidRDefault="0096720D" w:rsidP="0096720D">
      <w:pPr>
        <w:pStyle w:val="ListParagraph"/>
        <w:numPr>
          <w:ilvl w:val="1"/>
          <w:numId w:val="8"/>
        </w:numPr>
      </w:pPr>
      <w:r w:rsidRPr="004A5A07">
        <w:t>Cloud Compute: 95%</w:t>
      </w:r>
    </w:p>
    <w:p w14:paraId="15F05DB9" w14:textId="627ACD36" w:rsidR="0096720D" w:rsidRPr="004A5A07" w:rsidRDefault="00C43B5D" w:rsidP="0096720D">
      <w:pPr>
        <w:pStyle w:val="ListParagraph"/>
        <w:numPr>
          <w:ilvl w:val="2"/>
          <w:numId w:val="8"/>
        </w:numPr>
      </w:pPr>
      <w:r w:rsidRPr="004A5A07">
        <w:t>100%IT: 95%</w:t>
      </w:r>
    </w:p>
    <w:p w14:paraId="5B2F8F81" w14:textId="059BB9F6" w:rsidR="00C43B5D" w:rsidRPr="004A5A07" w:rsidRDefault="00C43B5D" w:rsidP="0096720D">
      <w:pPr>
        <w:pStyle w:val="ListParagraph"/>
        <w:numPr>
          <w:ilvl w:val="2"/>
          <w:numId w:val="8"/>
        </w:numPr>
      </w:pPr>
      <w:r w:rsidRPr="004A5A07">
        <w:t>CESGA: 95%</w:t>
      </w:r>
    </w:p>
    <w:p w14:paraId="6C7BE21D" w14:textId="3F254D18" w:rsidR="00C43B5D" w:rsidRPr="004A5A07" w:rsidRDefault="00C43B5D" w:rsidP="0096720D">
      <w:pPr>
        <w:pStyle w:val="ListParagraph"/>
        <w:numPr>
          <w:ilvl w:val="2"/>
          <w:numId w:val="8"/>
        </w:numPr>
      </w:pPr>
      <w:r w:rsidRPr="004A5A07">
        <w:t>CESNET: 95%</w:t>
      </w:r>
    </w:p>
    <w:p w14:paraId="1719091B" w14:textId="150B7886" w:rsidR="00C43B5D" w:rsidRPr="004A5A07" w:rsidRDefault="00C43B5D" w:rsidP="0096720D">
      <w:pPr>
        <w:pStyle w:val="ListParagraph"/>
        <w:numPr>
          <w:ilvl w:val="2"/>
          <w:numId w:val="8"/>
        </w:numPr>
      </w:pPr>
      <w:r w:rsidRPr="004A5A07">
        <w:t>IFCA-LCG2: 95%</w:t>
      </w:r>
    </w:p>
    <w:p w14:paraId="675B6D3D" w14:textId="741B683F" w:rsidR="00C43B5D" w:rsidRPr="004A5A07" w:rsidRDefault="00C43B5D" w:rsidP="0096720D">
      <w:pPr>
        <w:pStyle w:val="ListParagraph"/>
        <w:numPr>
          <w:ilvl w:val="2"/>
          <w:numId w:val="8"/>
        </w:numPr>
      </w:pPr>
      <w:r w:rsidRPr="004A5A07">
        <w:t>IISAS-FedCloud: 95%</w:t>
      </w:r>
    </w:p>
    <w:p w14:paraId="3FEF4415" w14:textId="5A7B223C" w:rsidR="00C43B5D" w:rsidRPr="004A5A07" w:rsidRDefault="00C43B5D" w:rsidP="0096720D">
      <w:pPr>
        <w:pStyle w:val="ListParagraph"/>
        <w:numPr>
          <w:ilvl w:val="2"/>
          <w:numId w:val="8"/>
        </w:numPr>
      </w:pPr>
      <w:r w:rsidRPr="004A5A07">
        <w:t>RECAS-BARI: 95%</w:t>
      </w:r>
    </w:p>
    <w:p w14:paraId="3C0140FE" w14:textId="23522216" w:rsidR="0096720D" w:rsidRPr="004A5A07" w:rsidRDefault="0096720D" w:rsidP="0096720D">
      <w:pPr>
        <w:pStyle w:val="ListParagraph"/>
        <w:numPr>
          <w:ilvl w:val="1"/>
          <w:numId w:val="8"/>
        </w:numPr>
      </w:pPr>
      <w:r w:rsidRPr="004A5A07">
        <w:t>Online Storage: 95%</w:t>
      </w:r>
    </w:p>
    <w:p w14:paraId="2E81E0BF" w14:textId="7D386008" w:rsidR="00C43B5D" w:rsidRPr="004A5A07" w:rsidRDefault="00C43B5D" w:rsidP="00C43B5D">
      <w:pPr>
        <w:pStyle w:val="ListParagraph"/>
        <w:numPr>
          <w:ilvl w:val="2"/>
          <w:numId w:val="8"/>
        </w:numPr>
      </w:pPr>
      <w:r w:rsidRPr="004A5A07">
        <w:t>100%IT: 95%</w:t>
      </w:r>
    </w:p>
    <w:p w14:paraId="4797D002" w14:textId="7882EB2E" w:rsidR="00C43B5D" w:rsidRPr="004A5A07" w:rsidRDefault="00C43B5D" w:rsidP="00C43B5D">
      <w:pPr>
        <w:pStyle w:val="ListParagraph"/>
        <w:numPr>
          <w:ilvl w:val="2"/>
          <w:numId w:val="8"/>
        </w:numPr>
      </w:pPr>
      <w:r w:rsidRPr="004A5A07">
        <w:t>CESNETT-MCC: 95%</w:t>
      </w:r>
    </w:p>
    <w:p w14:paraId="2613C7A7" w14:textId="662AF7A1" w:rsidR="00C43B5D" w:rsidRPr="004A5A07" w:rsidRDefault="00C43B5D" w:rsidP="00C43B5D">
      <w:pPr>
        <w:pStyle w:val="ListParagraph"/>
        <w:numPr>
          <w:ilvl w:val="2"/>
          <w:numId w:val="8"/>
        </w:numPr>
      </w:pPr>
      <w:r w:rsidRPr="004A5A07">
        <w:t>IISAS-FedCloud: 95%</w:t>
      </w:r>
    </w:p>
    <w:p w14:paraId="5FDF0CDC" w14:textId="7A500BE8" w:rsidR="00C43B5D" w:rsidRPr="004A5A07" w:rsidRDefault="00C43B5D" w:rsidP="00C43B5D">
      <w:pPr>
        <w:pStyle w:val="ListParagraph"/>
        <w:numPr>
          <w:ilvl w:val="2"/>
          <w:numId w:val="8"/>
        </w:numPr>
      </w:pPr>
      <w:r w:rsidRPr="004A5A07">
        <w:lastRenderedPageBreak/>
        <w:t>RECAS-BARI: 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1724">
      <w:pPr>
        <w:pStyle w:val="ListParagraph"/>
        <w:numPr>
          <w:ilvl w:val="0"/>
          <w:numId w:val="14"/>
        </w:numPr>
      </w:pPr>
      <w:r w:rsidRPr="004F6ECD">
        <w:t>Medium (Section 3)</w:t>
      </w:r>
    </w:p>
    <w:p w14:paraId="777AB914" w14:textId="7D4D18CA" w:rsidR="00542830" w:rsidRPr="00B97954" w:rsidRDefault="00542830" w:rsidP="00CE1F5A">
      <w:pPr>
        <w:pStyle w:val="Heading1"/>
      </w:pPr>
      <w:bookmarkStart w:id="9" w:name="_Toc403992929"/>
      <w:bookmarkStart w:id="10" w:name="_Toc531009092"/>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1724">
      <w:pPr>
        <w:pStyle w:val="ListParagraph"/>
        <w:numPr>
          <w:ilvl w:val="0"/>
          <w:numId w:val="9"/>
        </w:numPr>
      </w:pPr>
      <w:r w:rsidRPr="004F6ECD">
        <w:t>Support is provided in English.</w:t>
      </w:r>
    </w:p>
    <w:p w14:paraId="49D79F66" w14:textId="77777777" w:rsidR="00542830" w:rsidRPr="004F6ECD" w:rsidRDefault="00542830" w:rsidP="00281724">
      <w:pPr>
        <w:pStyle w:val="ListParagraph"/>
        <w:numPr>
          <w:ilvl w:val="0"/>
          <w:numId w:val="9"/>
        </w:numPr>
      </w:pPr>
      <w:r w:rsidRPr="004F6ECD">
        <w:t xml:space="preserve">Availability and Reliability calculations are based on the Service Monitoring operational results. </w:t>
      </w:r>
    </w:p>
    <w:p w14:paraId="700AF6FA" w14:textId="17ADCFCF" w:rsidR="00542830" w:rsidRPr="004F6ECD" w:rsidRDefault="00542830" w:rsidP="00281724">
      <w:pPr>
        <w:pStyle w:val="ListParagraph"/>
        <w:numPr>
          <w:ilvl w:val="0"/>
          <w:numId w:val="9"/>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281724">
      <w:pPr>
        <w:pStyle w:val="ListParagraph"/>
        <w:numPr>
          <w:ilvl w:val="0"/>
          <w:numId w:val="9"/>
        </w:numPr>
      </w:pPr>
      <w:r w:rsidRPr="004F6ECD">
        <w:t>Downtimes needed to ensure the security of the Service issues are not considered Agreement violations.</w:t>
      </w:r>
    </w:p>
    <w:p w14:paraId="6296CC44" w14:textId="2DEA32F3" w:rsidR="00ED5566" w:rsidRPr="004F6ECD" w:rsidRDefault="00542830" w:rsidP="00281724">
      <w:pPr>
        <w:pStyle w:val="ListParagraph"/>
        <w:numPr>
          <w:ilvl w:val="0"/>
          <w:numId w:val="9"/>
        </w:numPr>
      </w:pPr>
      <w:r w:rsidRPr="004F6ECD">
        <w:t xml:space="preserve">Failures of resource provider not being part of EGI production infrastructure are not considered as Agreement violations. </w:t>
      </w:r>
    </w:p>
    <w:p w14:paraId="2EE19F64" w14:textId="77777777" w:rsidR="00BA6136" w:rsidRDefault="00BA6136" w:rsidP="00281724">
      <w:pPr>
        <w:numPr>
          <w:ilvl w:val="0"/>
          <w:numId w:val="9"/>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1724">
      <w:pPr>
        <w:numPr>
          <w:ilvl w:val="1"/>
          <w:numId w:val="9"/>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1724">
      <w:pPr>
        <w:numPr>
          <w:ilvl w:val="1"/>
          <w:numId w:val="9"/>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9" w:name="_Toc531009093"/>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531009094"/>
      <w:r w:rsidRPr="00B97954">
        <w:t>General communication</w:t>
      </w:r>
      <w:bookmarkEnd w:id="20"/>
      <w:bookmarkEnd w:id="21"/>
    </w:p>
    <w:p w14:paraId="4FD4774C" w14:textId="456F05CC"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2484D7A" w14:textId="23A01A5A" w:rsidR="00542830" w:rsidRPr="004A5A07" w:rsidRDefault="00CF2D58" w:rsidP="00CF2D58">
            <w:pPr>
              <w:jc w:val="left"/>
              <w:rPr>
                <w:rFonts w:cs="Open Sans"/>
              </w:rPr>
            </w:pPr>
            <w:r w:rsidRPr="004A5A07">
              <w:rPr>
                <w:rFonts w:cs="Open Sans"/>
              </w:rPr>
              <w:t>Hervé Caumont</w:t>
            </w:r>
            <w:r w:rsidRPr="004A5A07">
              <w:rPr>
                <w:rFonts w:cs="Open Sans"/>
              </w:rPr>
              <w:br/>
            </w:r>
            <w:hyperlink r:id="rId37" w:history="1">
              <w:r w:rsidRPr="004A5A07">
                <w:rPr>
                  <w:rStyle w:val="Hyperlink"/>
                  <w:rFonts w:cs="Open Sans"/>
                </w:rPr>
                <w:t>herve.caumont@terradue.com</w:t>
              </w:r>
            </w:hyperlink>
            <w:r w:rsidRPr="004A5A07">
              <w:rPr>
                <w:rFonts w:cs="Open Sans"/>
              </w:rPr>
              <w:t xml:space="preserve"> </w:t>
            </w:r>
            <w:r w:rsidR="004A5A07">
              <w:rPr>
                <w:rFonts w:cs="Open Sans"/>
              </w:rPr>
              <w:br/>
            </w:r>
            <w:r w:rsidR="00442A4D" w:rsidRPr="004A5A07">
              <w:rPr>
                <w:rFonts w:cs="Open Sans"/>
              </w:rPr>
              <w:t>Platform Operations, Manager</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47F7EBD8" w14:textId="151E45F8" w:rsidR="00542830" w:rsidRPr="004A5A07" w:rsidRDefault="00542830" w:rsidP="00CF2D58">
            <w:pPr>
              <w:jc w:val="left"/>
              <w:rPr>
                <w:rFonts w:cs="Open Sans"/>
                <w:lang w:val="it-IT"/>
              </w:rPr>
            </w:pPr>
            <w:r w:rsidRPr="00C062E3">
              <w:rPr>
                <w:rFonts w:cs="Open Sans"/>
                <w:lang w:val="it-IT"/>
              </w:rPr>
              <w:t>Małgorzata Krakowian</w:t>
            </w:r>
            <w:r w:rsidR="004A5A07">
              <w:rPr>
                <w:rFonts w:cs="Open Sans"/>
                <w:lang w:val="it-IT"/>
              </w:rPr>
              <w:br/>
            </w:r>
            <w:hyperlink r:id="rId38" w:history="1">
              <w:r w:rsidR="004A5A07" w:rsidRPr="00B61800">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CF2D58">
            <w:pPr>
              <w:jc w:val="left"/>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CF2D58">
            <w:pPr>
              <w:jc w:val="left"/>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531009095"/>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4" w:name="_Toc403992933"/>
      <w:bookmarkStart w:id="25" w:name="_Toc531009096"/>
      <w:r>
        <w:t>V</w:t>
      </w:r>
      <w:r w:rsidRPr="00B97954">
        <w:t>iolations</w:t>
      </w:r>
      <w:bookmarkEnd w:id="24"/>
      <w:bookmarkEnd w:id="25"/>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281724">
      <w:pPr>
        <w:pStyle w:val="ListParagraph"/>
        <w:numPr>
          <w:ilvl w:val="0"/>
          <w:numId w:val="9"/>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281724">
      <w:pPr>
        <w:pStyle w:val="ListParagraph"/>
        <w:numPr>
          <w:ilvl w:val="1"/>
          <w:numId w:val="9"/>
        </w:numPr>
      </w:pPr>
      <w:r>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281724">
      <w:pPr>
        <w:pStyle w:val="ListParagraph"/>
        <w:numPr>
          <w:ilvl w:val="0"/>
          <w:numId w:val="9"/>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531009097"/>
      <w:r w:rsidRPr="00B97954">
        <w:lastRenderedPageBreak/>
        <w:t xml:space="preserve">Escalation </w:t>
      </w:r>
      <w:r>
        <w:t>and</w:t>
      </w:r>
      <w:r w:rsidRPr="00B97954">
        <w:t xml:space="preserve"> complaints</w:t>
      </w:r>
      <w:bookmarkEnd w:id="26"/>
      <w:bookmarkEnd w:id="27"/>
    </w:p>
    <w:p w14:paraId="355F6A8C" w14:textId="5EFD726D"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411E8A">
        <w:rPr>
          <w:rStyle w:val="Strong"/>
          <w:b w:val="0"/>
        </w:rPr>
        <w:t>a</w:t>
      </w:r>
      <w:r w:rsidR="00A76EF5" w:rsidRPr="00AE6C1C">
        <w:rPr>
          <w:rStyle w:val="Strong"/>
          <w:b w:val="0"/>
        </w:rPr>
        <w:t xml:space="preserve">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281724">
      <w:pPr>
        <w:pStyle w:val="ListParagraph"/>
        <w:numPr>
          <w:ilvl w:val="0"/>
          <w:numId w:val="10"/>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281724">
      <w:pPr>
        <w:pStyle w:val="ListParagraph"/>
        <w:numPr>
          <w:ilvl w:val="0"/>
          <w:numId w:val="10"/>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39"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8" w:name="_Toc403992935"/>
      <w:bookmarkStart w:id="29" w:name="_Toc531009098"/>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281724">
      <w:pPr>
        <w:pStyle w:val="ListParagraph"/>
        <w:numPr>
          <w:ilvl w:val="0"/>
          <w:numId w:val="13"/>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281724">
      <w:pPr>
        <w:pStyle w:val="ListParagraph"/>
        <w:numPr>
          <w:ilvl w:val="0"/>
          <w:numId w:val="13"/>
        </w:numPr>
      </w:pPr>
      <w:r w:rsidRPr="004F6ECD">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281724">
      <w:pPr>
        <w:pStyle w:val="ListParagraph"/>
        <w:numPr>
          <w:ilvl w:val="0"/>
          <w:numId w:val="13"/>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30" w:name="_Toc531009099"/>
      <w:bookmarkStart w:id="31" w:name="_Toc403992936"/>
      <w:r>
        <w:t>R</w:t>
      </w:r>
      <w:r w:rsidRPr="00B97954">
        <w:t>esponsibilities</w:t>
      </w:r>
      <w:bookmarkEnd w:id="30"/>
      <w:r w:rsidRPr="00B97954">
        <w:t xml:space="preserve"> </w:t>
      </w:r>
    </w:p>
    <w:p w14:paraId="4D1141DF" w14:textId="61C9568C" w:rsidR="00CC7A3E" w:rsidRPr="00B97954" w:rsidRDefault="00CC7A3E" w:rsidP="00D206E9">
      <w:pPr>
        <w:pStyle w:val="Heading2"/>
      </w:pPr>
      <w:bookmarkStart w:id="32" w:name="_Toc531009100"/>
      <w:r>
        <w:t>O</w:t>
      </w:r>
      <w:r w:rsidRPr="00B97954">
        <w:t xml:space="preserve">f </w:t>
      </w:r>
      <w:bookmarkEnd w:id="31"/>
      <w:r w:rsidR="00330670">
        <w:t>EGI Foundation</w:t>
      </w:r>
      <w:bookmarkEnd w:id="32"/>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281724">
      <w:pPr>
        <w:pStyle w:val="ListParagraph"/>
        <w:numPr>
          <w:ilvl w:val="0"/>
          <w:numId w:val="12"/>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3"/>
      </w:r>
      <w:r w:rsidR="00CC7A3E" w:rsidRPr="004F6ECD">
        <w:t xml:space="preserve"> and to other policy documents referenced therein.</w:t>
      </w:r>
    </w:p>
    <w:p w14:paraId="0D3E4631" w14:textId="33EE8EC6" w:rsidR="00CC7A3E" w:rsidRPr="004F6ECD" w:rsidRDefault="00330670" w:rsidP="00281724">
      <w:pPr>
        <w:pStyle w:val="ListParagraph"/>
        <w:numPr>
          <w:ilvl w:val="0"/>
          <w:numId w:val="12"/>
        </w:numPr>
      </w:pPr>
      <w:r>
        <w:rPr>
          <w:rFonts w:cs="Open Sans"/>
        </w:rPr>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281724">
      <w:pPr>
        <w:pStyle w:val="ListParagraph"/>
        <w:numPr>
          <w:ilvl w:val="0"/>
          <w:numId w:val="12"/>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531009101"/>
      <w:bookmarkStart w:id="34" w:name="_Toc403992937"/>
      <w:r>
        <w:lastRenderedPageBreak/>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47D13D98" w:rsidR="00BA1930" w:rsidRPr="004A5A07" w:rsidRDefault="0077128B" w:rsidP="00281724">
      <w:pPr>
        <w:pStyle w:val="ListParagraph"/>
        <w:numPr>
          <w:ilvl w:val="0"/>
          <w:numId w:val="11"/>
        </w:numPr>
        <w:rPr>
          <w:b/>
        </w:rPr>
      </w:pPr>
      <w:r w:rsidRPr="004A5A07">
        <w:rPr>
          <w:b/>
        </w:rPr>
        <w:t>The customer facilitates the use of EGI acknowledgement by communicating to users the need of adding the following sentence in acknowledgement</w:t>
      </w:r>
      <w:r w:rsidR="00BA1930" w:rsidRPr="004A5A07">
        <w:rPr>
          <w:b/>
        </w:rPr>
        <w:t xml:space="preserve">: </w:t>
      </w:r>
      <w:r w:rsidRPr="004A5A07">
        <w:rPr>
          <w:b/>
        </w:rPr>
        <w:t xml:space="preserve"> “This work used the EGI infrastructure with the dedicated support of</w:t>
      </w:r>
      <w:r w:rsidR="00232202" w:rsidRPr="004A5A07">
        <w:rPr>
          <w:b/>
        </w:rPr>
        <w:t xml:space="preserve"> RECAS-BARI, IISAS-FedCloud, 100%IT, CESNET-MCC, CESGA and IFCA-LCG2</w:t>
      </w:r>
      <w:r w:rsidRPr="004A5A07">
        <w:rPr>
          <w:b/>
        </w:rPr>
        <w:t xml:space="preserve">” </w:t>
      </w:r>
    </w:p>
    <w:p w14:paraId="63FEB9E6" w14:textId="4CAF2E1D" w:rsidR="00BA1930" w:rsidRDefault="00BA1930" w:rsidP="00281724">
      <w:pPr>
        <w:pStyle w:val="ListParagraph"/>
        <w:numPr>
          <w:ilvl w:val="0"/>
          <w:numId w:val="11"/>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281724">
      <w:pPr>
        <w:pStyle w:val="ListParagraph"/>
        <w:numPr>
          <w:ilvl w:val="0"/>
          <w:numId w:val="11"/>
        </w:numPr>
      </w:pPr>
      <w:r w:rsidRPr="004F6ECD">
        <w:t>The Customer must not share access credentials with anyone else.</w:t>
      </w:r>
    </w:p>
    <w:p w14:paraId="3854D292" w14:textId="77777777" w:rsidR="00CC7A3E" w:rsidRPr="004F6ECD" w:rsidRDefault="00CC7A3E" w:rsidP="00281724">
      <w:pPr>
        <w:pStyle w:val="ListParagraph"/>
        <w:numPr>
          <w:ilvl w:val="0"/>
          <w:numId w:val="11"/>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1724">
      <w:pPr>
        <w:pStyle w:val="ListParagraph"/>
        <w:numPr>
          <w:ilvl w:val="0"/>
          <w:numId w:val="11"/>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281724">
      <w:pPr>
        <w:pStyle w:val="ListParagraph"/>
        <w:numPr>
          <w:ilvl w:val="0"/>
          <w:numId w:val="11"/>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1724">
      <w:pPr>
        <w:pStyle w:val="ListParagraph"/>
        <w:numPr>
          <w:ilvl w:val="0"/>
          <w:numId w:val="11"/>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281724">
      <w:pPr>
        <w:pStyle w:val="ListParagraph"/>
        <w:numPr>
          <w:ilvl w:val="0"/>
          <w:numId w:val="11"/>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281724">
      <w:pPr>
        <w:pStyle w:val="ListParagraph"/>
        <w:numPr>
          <w:ilvl w:val="0"/>
          <w:numId w:val="11"/>
        </w:numPr>
      </w:pPr>
      <w:r w:rsidRPr="004F6ECD">
        <w:t>When applicable, the Customer is responsible of ensuring that the Virtual Machine images en</w:t>
      </w:r>
      <w:r w:rsidR="00884A91">
        <w:t>dorsed and listed in the AppDB</w:t>
      </w:r>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lastRenderedPageBreak/>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40"/>
      <w:footerReference w:type="first" r:id="rId4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1EB32" w14:textId="77777777" w:rsidR="00EE70C2" w:rsidRDefault="00EE70C2" w:rsidP="00835E24">
      <w:pPr>
        <w:spacing w:after="0" w:line="240" w:lineRule="auto"/>
      </w:pPr>
      <w:r>
        <w:separator/>
      </w:r>
    </w:p>
  </w:endnote>
  <w:endnote w:type="continuationSeparator" w:id="0">
    <w:p w14:paraId="151BE936" w14:textId="77777777" w:rsidR="00EE70C2" w:rsidRDefault="00EE70C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85DB1" w:rsidRDefault="00D85DB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85DB1" w14:paraId="20E80DE0" w14:textId="77777777" w:rsidTr="00D065EF">
      <w:trPr>
        <w:trHeight w:val="857"/>
      </w:trPr>
      <w:tc>
        <w:tcPr>
          <w:tcW w:w="3060" w:type="dxa"/>
          <w:vAlign w:val="bottom"/>
        </w:tcPr>
        <w:p w14:paraId="5BCF0121" w14:textId="77777777" w:rsidR="00D85DB1" w:rsidRDefault="00D85DB1" w:rsidP="00D065EF">
          <w:pPr>
            <w:pStyle w:val="Header"/>
            <w:jc w:val="left"/>
          </w:pPr>
          <w:r>
            <w:rPr>
              <w:noProof/>
              <w:lang w:val="en-US"/>
            </w:rPr>
            <w:drawing>
              <wp:inline distT="0" distB="0" distL="0" distR="0" wp14:anchorId="77FA915E" wp14:editId="62A7BF01">
                <wp:extent cx="765570"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85DB1" w:rsidRDefault="00EE70C2" w:rsidP="0053196A">
          <w:pPr>
            <w:pStyle w:val="Header"/>
            <w:jc w:val="center"/>
          </w:pPr>
          <w:sdt>
            <w:sdtPr>
              <w:id w:val="1030074310"/>
              <w:docPartObj>
                <w:docPartGallery w:val="Page Numbers (Bottom of Page)"/>
                <w:docPartUnique/>
              </w:docPartObj>
            </w:sdtPr>
            <w:sdtEndPr>
              <w:rPr>
                <w:noProof/>
              </w:rPr>
            </w:sdtEndPr>
            <w:sdtContent>
              <w:r w:rsidR="00D85DB1">
                <w:fldChar w:fldCharType="begin"/>
              </w:r>
              <w:r w:rsidR="00D85DB1">
                <w:instrText xml:space="preserve"> PAGE   \* MERGEFORMAT </w:instrText>
              </w:r>
              <w:r w:rsidR="00D85DB1">
                <w:fldChar w:fldCharType="separate"/>
              </w:r>
              <w:r w:rsidR="005A3B97">
                <w:rPr>
                  <w:noProof/>
                </w:rPr>
                <w:t>14</w:t>
              </w:r>
              <w:r w:rsidR="00D85DB1">
                <w:rPr>
                  <w:noProof/>
                </w:rPr>
                <w:fldChar w:fldCharType="end"/>
              </w:r>
            </w:sdtContent>
          </w:sdt>
        </w:p>
      </w:tc>
      <w:tc>
        <w:tcPr>
          <w:tcW w:w="3060" w:type="dxa"/>
          <w:vAlign w:val="bottom"/>
        </w:tcPr>
        <w:p w14:paraId="3CFBBF56" w14:textId="77777777" w:rsidR="00D85DB1" w:rsidRDefault="00D85DB1" w:rsidP="0053196A">
          <w:pPr>
            <w:pStyle w:val="Header"/>
            <w:jc w:val="right"/>
          </w:pPr>
        </w:p>
      </w:tc>
    </w:tr>
  </w:tbl>
  <w:p w14:paraId="016916BB" w14:textId="77777777" w:rsidR="00D85DB1" w:rsidRDefault="00D85DB1"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85DB1" w14:paraId="76DB1E08" w14:textId="77777777" w:rsidTr="0010672E">
      <w:tc>
        <w:tcPr>
          <w:tcW w:w="1242" w:type="dxa"/>
          <w:vAlign w:val="center"/>
        </w:tcPr>
        <w:p w14:paraId="1FA522BE" w14:textId="77777777" w:rsidR="00D85DB1" w:rsidRDefault="00D85DB1" w:rsidP="0010672E">
          <w:pPr>
            <w:pStyle w:val="Footer"/>
            <w:jc w:val="center"/>
          </w:pPr>
          <w:r>
            <w:rPr>
              <w:noProof/>
              <w:sz w:val="18"/>
              <w:szCs w:val="18"/>
              <w:lang w:val="en-US"/>
            </w:rPr>
            <w:drawing>
              <wp:inline distT="0" distB="0" distL="0" distR="0" wp14:anchorId="58576CF1" wp14:editId="2CFB42C0">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85DB1" w:rsidRPr="00757E35" w:rsidRDefault="00D85DB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D85DB1" w:rsidRPr="00962667" w:rsidRDefault="00EE70C2" w:rsidP="00D859A3">
          <w:pPr>
            <w:pStyle w:val="Footer"/>
            <w:jc w:val="center"/>
            <w:rPr>
              <w:i/>
              <w:sz w:val="20"/>
            </w:rPr>
          </w:pPr>
          <w:hyperlink r:id="rId2" w:history="1">
            <w:r w:rsidR="00D85DB1" w:rsidRPr="00757E35">
              <w:rPr>
                <w:rStyle w:val="Hyperlink"/>
                <w:rFonts w:asciiTheme="minorHAnsi" w:eastAsia="Verdana" w:hAnsiTheme="minorHAnsi"/>
                <w:sz w:val="18"/>
                <w:szCs w:val="18"/>
              </w:rPr>
              <w:t>Creative Commons Attribution 4.0 International License</w:t>
            </w:r>
          </w:hyperlink>
        </w:p>
      </w:tc>
    </w:tr>
    <w:tr w:rsidR="00D85DB1" w14:paraId="7924B2F7" w14:textId="77777777" w:rsidTr="0010672E">
      <w:tc>
        <w:tcPr>
          <w:tcW w:w="1242" w:type="dxa"/>
          <w:vAlign w:val="center"/>
        </w:tcPr>
        <w:p w14:paraId="6F8CA869" w14:textId="1B0D6158" w:rsidR="00D85DB1" w:rsidRDefault="00D85DB1"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5" name="Picture 5"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85DB1" w:rsidRPr="00220329" w:rsidRDefault="00D85DB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85DB1" w:rsidRPr="00757E35" w:rsidRDefault="00D85DB1" w:rsidP="00D859A3">
          <w:pPr>
            <w:pStyle w:val="Footer"/>
            <w:snapToGrid w:val="0"/>
            <w:jc w:val="center"/>
            <w:rPr>
              <w:rFonts w:asciiTheme="minorHAnsi" w:hAnsiTheme="minorHAnsi"/>
              <w:sz w:val="18"/>
              <w:szCs w:val="18"/>
            </w:rPr>
          </w:pPr>
        </w:p>
      </w:tc>
    </w:tr>
  </w:tbl>
  <w:p w14:paraId="4F1C14D6" w14:textId="77777777" w:rsidR="00D85DB1" w:rsidRDefault="00D85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05433" w14:textId="77777777" w:rsidR="00EE70C2" w:rsidRDefault="00EE70C2" w:rsidP="00835E24">
      <w:pPr>
        <w:spacing w:after="0" w:line="240" w:lineRule="auto"/>
      </w:pPr>
      <w:r>
        <w:separator/>
      </w:r>
    </w:p>
  </w:footnote>
  <w:footnote w:type="continuationSeparator" w:id="0">
    <w:p w14:paraId="174DD273" w14:textId="77777777" w:rsidR="00EE70C2" w:rsidRDefault="00EE70C2" w:rsidP="00835E24">
      <w:pPr>
        <w:spacing w:after="0" w:line="240" w:lineRule="auto"/>
      </w:pPr>
      <w:r>
        <w:continuationSeparator/>
      </w:r>
    </w:p>
  </w:footnote>
  <w:footnote w:id="1">
    <w:p w14:paraId="3B9E3E23" w14:textId="77777777" w:rsidR="00D85DB1" w:rsidRDefault="00D85DB1" w:rsidP="00FC2F1A">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2">
    <w:p w14:paraId="706091E6" w14:textId="77777777" w:rsidR="00D85DB1" w:rsidRDefault="00D85DB1" w:rsidP="00FA7957">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3">
    <w:p w14:paraId="7E31BEC8" w14:textId="1E1CC8AD" w:rsidR="00D85DB1" w:rsidRPr="00023458" w:rsidRDefault="00D85DB1">
      <w:pPr>
        <w:pStyle w:val="FootnoteText"/>
        <w:rPr>
          <w:lang w:val="uz-Cyrl-UZ"/>
        </w:rPr>
      </w:pPr>
      <w:r>
        <w:rPr>
          <w:rStyle w:val="FootnoteReference"/>
        </w:rPr>
        <w:footnoteRef/>
      </w:r>
      <w:r w:rsidRPr="00023458">
        <w:rPr>
          <w:lang w:val="uz-Cyrl-UZ"/>
        </w:rPr>
        <w:t xml:space="preserve"> </w:t>
      </w:r>
      <w:hyperlink r:id="rId1" w:history="1">
        <w:r w:rsidRPr="00023458">
          <w:rPr>
            <w:rStyle w:val="Hyperlink"/>
            <w:lang w:val="uz-Cyrl-UZ"/>
          </w:rPr>
          <w:t>http://accounting.egi.eu/</w:t>
        </w:r>
      </w:hyperlink>
      <w:r w:rsidRPr="00023458">
        <w:rPr>
          <w:lang w:val="uz-Cyrl-UZ"/>
        </w:rPr>
        <w:t xml:space="preserve"> </w:t>
      </w:r>
    </w:p>
  </w:footnote>
  <w:footnote w:id="4">
    <w:p w14:paraId="2B8E0BC9" w14:textId="2B342209" w:rsidR="00D85DB1" w:rsidRPr="00023458" w:rsidRDefault="00D85DB1">
      <w:pPr>
        <w:pStyle w:val="FootnoteText"/>
        <w:rPr>
          <w:lang w:val="uz-Cyrl-UZ"/>
        </w:rPr>
      </w:pPr>
      <w:r>
        <w:rPr>
          <w:rStyle w:val="FootnoteReference"/>
        </w:rPr>
        <w:footnoteRef/>
      </w:r>
      <w:r w:rsidRPr="00023458">
        <w:rPr>
          <w:lang w:val="uz-Cyrl-UZ"/>
        </w:rPr>
        <w:t xml:space="preserve"> </w:t>
      </w:r>
      <w:hyperlink r:id="rId2" w:history="1">
        <w:r w:rsidRPr="00023458">
          <w:rPr>
            <w:rStyle w:val="Hyperlink"/>
            <w:lang w:val="uz-Cyrl-UZ"/>
          </w:rPr>
          <w:t>http://argo.egi.eu/</w:t>
        </w:r>
      </w:hyperlink>
      <w:r w:rsidRPr="00023458">
        <w:rPr>
          <w:lang w:val="uz-Cyrl-UZ"/>
        </w:rPr>
        <w:t xml:space="preserve"> </w:t>
      </w:r>
    </w:p>
  </w:footnote>
  <w:footnote w:id="5">
    <w:p w14:paraId="3CBC59A4" w14:textId="77777777" w:rsidR="00D85DB1" w:rsidRPr="00023458" w:rsidRDefault="00D85DB1" w:rsidP="00176CC7">
      <w:pPr>
        <w:pStyle w:val="FootnoteText"/>
        <w:rPr>
          <w:lang w:val="uz-Cyrl-UZ"/>
        </w:rPr>
      </w:pPr>
      <w:r>
        <w:rPr>
          <w:rStyle w:val="FootnoteReference"/>
        </w:rPr>
        <w:footnoteRef/>
      </w:r>
      <w:r w:rsidRPr="00023458">
        <w:rPr>
          <w:lang w:val="uz-Cyrl-UZ"/>
        </w:rPr>
        <w:t xml:space="preserve"> </w:t>
      </w:r>
      <w:hyperlink r:id="rId3" w:anchor="Downtimes" w:history="1">
        <w:r w:rsidRPr="00023458">
          <w:rPr>
            <w:rStyle w:val="Hyperlink"/>
            <w:rFonts w:cs="Cambria"/>
            <w:lang w:val="uz-Cyrl-UZ"/>
          </w:rPr>
          <w:t>https://wiki.egi.eu/wiki/GOCDB/Input_System_User_Documentation#Downtimes</w:t>
        </w:r>
      </w:hyperlink>
    </w:p>
  </w:footnote>
  <w:footnote w:id="6">
    <w:p w14:paraId="38723179" w14:textId="3F04AE24" w:rsidR="00D85DB1" w:rsidRPr="00023458" w:rsidRDefault="00D85DB1">
      <w:pPr>
        <w:pStyle w:val="FootnoteText"/>
        <w:rPr>
          <w:lang w:val="uz-Cyrl-UZ"/>
        </w:rPr>
      </w:pPr>
      <w:r>
        <w:rPr>
          <w:rStyle w:val="FootnoteReference"/>
        </w:rPr>
        <w:footnoteRef/>
      </w:r>
      <w:r w:rsidRPr="00023458">
        <w:rPr>
          <w:lang w:val="uz-Cyrl-UZ"/>
        </w:rPr>
        <w:t xml:space="preserve"> </w:t>
      </w:r>
      <w:hyperlink r:id="rId4" w:history="1">
        <w:r w:rsidRPr="00B97954">
          <w:rPr>
            <w:rStyle w:val="Hyperlink"/>
            <w:rFonts w:eastAsia="Calibri" w:cs="Open Sans"/>
            <w:lang w:val="pl-PL"/>
          </w:rPr>
          <w:t>http://goc.egi.eu/</w:t>
        </w:r>
      </w:hyperlink>
    </w:p>
  </w:footnote>
  <w:footnote w:id="7">
    <w:p w14:paraId="0C29469E" w14:textId="6D15BA27" w:rsidR="00D85DB1" w:rsidRPr="00023458" w:rsidRDefault="00D85DB1">
      <w:pPr>
        <w:pStyle w:val="FootnoteText"/>
        <w:rPr>
          <w:lang w:val="uz-Cyrl-UZ"/>
        </w:rPr>
      </w:pPr>
      <w:r>
        <w:rPr>
          <w:rStyle w:val="FootnoteReference"/>
        </w:rPr>
        <w:footnoteRef/>
      </w:r>
      <w:r w:rsidRPr="00023458">
        <w:rPr>
          <w:lang w:val="uz-Cyrl-UZ"/>
        </w:rPr>
        <w:t xml:space="preserve"> </w:t>
      </w:r>
      <w:hyperlink r:id="rId5" w:history="1">
        <w:r w:rsidRPr="00B97954">
          <w:rPr>
            <w:rStyle w:val="Hyperlink"/>
            <w:rFonts w:eastAsia="Calibri" w:cs="Open Sans"/>
            <w:lang w:val="pl-PL"/>
          </w:rPr>
          <w:t>http://helpdesk.egi.eu/</w:t>
        </w:r>
      </w:hyperlink>
    </w:p>
  </w:footnote>
  <w:footnote w:id="8">
    <w:p w14:paraId="6D1D8F39" w14:textId="1D7FCE73" w:rsidR="00D85DB1" w:rsidRPr="00023458" w:rsidRDefault="00D85DB1">
      <w:pPr>
        <w:pStyle w:val="FootnoteText"/>
        <w:rPr>
          <w:lang w:val="uz-Cyrl-UZ"/>
        </w:rPr>
      </w:pPr>
      <w:r>
        <w:rPr>
          <w:rStyle w:val="FootnoteReference"/>
        </w:rPr>
        <w:footnoteRef/>
      </w:r>
      <w:r w:rsidRPr="00023458">
        <w:rPr>
          <w:lang w:val="uz-Cyrl-UZ"/>
        </w:rPr>
        <w:t xml:space="preserve"> </w:t>
      </w:r>
      <w:hyperlink r:id="rId6" w:history="1">
        <w:r w:rsidRPr="00023458">
          <w:rPr>
            <w:rStyle w:val="Hyperlink"/>
            <w:rFonts w:cs="Cambria"/>
            <w:lang w:val="uz-Cyrl-UZ"/>
          </w:rPr>
          <w:t>https://www.egi.eu/sso/</w:t>
        </w:r>
      </w:hyperlink>
    </w:p>
  </w:footnote>
  <w:footnote w:id="9">
    <w:p w14:paraId="3C3EF43A" w14:textId="77777777" w:rsidR="00D85DB1" w:rsidRPr="00023458" w:rsidRDefault="00D85DB1" w:rsidP="001B4217">
      <w:pPr>
        <w:pStyle w:val="FootnoteText"/>
        <w:rPr>
          <w:lang w:val="uz-Cyrl-UZ"/>
        </w:rPr>
      </w:pPr>
      <w:r>
        <w:rPr>
          <w:rStyle w:val="FootnoteReference"/>
        </w:rPr>
        <w:footnoteRef/>
      </w:r>
      <w:r w:rsidRPr="00023458">
        <w:rPr>
          <w:lang w:val="uz-Cyrl-UZ"/>
        </w:rPr>
        <w:t xml:space="preserve"> </w:t>
      </w:r>
      <w:hyperlink r:id="rId7" w:history="1">
        <w:r w:rsidRPr="00023458">
          <w:rPr>
            <w:rStyle w:val="Hyperlink"/>
            <w:lang w:val="uz-Cyrl-UZ"/>
          </w:rPr>
          <w:t>https://wiki.egi.eu/wiki/FAQ_GGUS-QoS-Levels</w:t>
        </w:r>
      </w:hyperlink>
      <w:r w:rsidRPr="00023458">
        <w:rPr>
          <w:lang w:val="uz-Cyrl-UZ"/>
        </w:rPr>
        <w:t xml:space="preserve"> </w:t>
      </w:r>
    </w:p>
  </w:footnote>
  <w:footnote w:id="10">
    <w:p w14:paraId="562C2ACA" w14:textId="77777777" w:rsidR="00D85DB1" w:rsidRPr="00023458" w:rsidRDefault="00D85DB1" w:rsidP="001B4217">
      <w:pPr>
        <w:pStyle w:val="FootnoteText"/>
        <w:rPr>
          <w:lang w:val="uz-Cyrl-UZ"/>
        </w:rPr>
      </w:pPr>
      <w:r>
        <w:rPr>
          <w:rStyle w:val="FootnoteReference"/>
        </w:rPr>
        <w:footnoteRef/>
      </w:r>
      <w:r w:rsidRPr="00023458">
        <w:rPr>
          <w:lang w:val="uz-Cyrl-UZ"/>
        </w:rPr>
        <w:t xml:space="preserve"> </w:t>
      </w:r>
      <w:hyperlink r:id="rId8" w:history="1">
        <w:r w:rsidRPr="00023458">
          <w:rPr>
            <w:rStyle w:val="Hyperlink"/>
            <w:lang w:val="uz-Cyrl-UZ"/>
          </w:rPr>
          <w:t>https://wiki.egi.eu/wiki/FAQ_GGUS-Ticket-Priority</w:t>
        </w:r>
      </w:hyperlink>
      <w:r w:rsidRPr="00023458">
        <w:rPr>
          <w:lang w:val="uz-Cyrl-UZ"/>
        </w:rPr>
        <w:t xml:space="preserve"> </w:t>
      </w:r>
    </w:p>
  </w:footnote>
  <w:footnote w:id="11">
    <w:p w14:paraId="7160E92A" w14:textId="1DD0315A" w:rsidR="00D85DB1" w:rsidRPr="00023458" w:rsidRDefault="00D85DB1">
      <w:pPr>
        <w:pStyle w:val="FootnoteText"/>
        <w:rPr>
          <w:lang w:val="uz-Cyrl-UZ"/>
        </w:rPr>
      </w:pPr>
      <w:r>
        <w:rPr>
          <w:rStyle w:val="FootnoteReference"/>
        </w:rPr>
        <w:footnoteRef/>
      </w:r>
      <w:r w:rsidRPr="00023458">
        <w:rPr>
          <w:lang w:val="uz-Cyrl-UZ"/>
        </w:rPr>
        <w:t xml:space="preserve"> </w:t>
      </w:r>
      <w:hyperlink r:id="rId9" w:history="1">
        <w:r w:rsidRPr="00023458">
          <w:rPr>
            <w:rStyle w:val="Hyperlink"/>
            <w:lang w:val="uz-Cyrl-UZ"/>
          </w:rPr>
          <w:t>https://documents.egi.eu/document/2748</w:t>
        </w:r>
      </w:hyperlink>
      <w:r w:rsidRPr="00023458">
        <w:rPr>
          <w:lang w:val="uz-Cyrl-UZ"/>
        </w:rPr>
        <w:t xml:space="preserve"> </w:t>
      </w:r>
    </w:p>
  </w:footnote>
  <w:footnote w:id="12">
    <w:p w14:paraId="65C97635" w14:textId="125F58FC" w:rsidR="00D85DB1" w:rsidRPr="00023458" w:rsidRDefault="00D85DB1">
      <w:pPr>
        <w:pStyle w:val="FootnoteText"/>
        <w:rPr>
          <w:lang w:val="uz-Cyrl-UZ"/>
        </w:rPr>
      </w:pPr>
      <w:r>
        <w:rPr>
          <w:rStyle w:val="FootnoteReference"/>
        </w:rPr>
        <w:footnoteRef/>
      </w:r>
      <w:r w:rsidRPr="00023458">
        <w:rPr>
          <w:lang w:val="uz-Cyrl-UZ"/>
        </w:rPr>
        <w:t xml:space="preserve"> </w:t>
      </w:r>
      <w:hyperlink r:id="rId10" w:history="1">
        <w:r w:rsidRPr="00023458">
          <w:rPr>
            <w:rStyle w:val="Hyperlink"/>
            <w:rFonts w:cs="Open Sans"/>
            <w:lang w:val="uz-Cyrl-UZ"/>
          </w:rPr>
          <w:t>https://www.egi.eu/about/policy/policies_procedures.html</w:t>
        </w:r>
      </w:hyperlink>
    </w:p>
  </w:footnote>
  <w:footnote w:id="13">
    <w:p w14:paraId="2DCB2BAF" w14:textId="5D6B54F6" w:rsidR="00D85DB1" w:rsidRPr="00023458" w:rsidRDefault="00D85DB1">
      <w:pPr>
        <w:pStyle w:val="FootnoteText"/>
        <w:rPr>
          <w:lang w:val="uz-Cyrl-UZ"/>
        </w:rPr>
      </w:pPr>
      <w:r>
        <w:rPr>
          <w:rStyle w:val="FootnoteReference"/>
        </w:rPr>
        <w:footnoteRef/>
      </w:r>
      <w:r w:rsidRPr="00023458">
        <w:rPr>
          <w:lang w:val="uz-Cyrl-UZ"/>
        </w:rPr>
        <w:t xml:space="preserve"> </w:t>
      </w:r>
      <w:hyperlink r:id="rId11" w:history="1">
        <w:r w:rsidRPr="00023458">
          <w:rPr>
            <w:rStyle w:val="Hyperlink"/>
            <w:rFonts w:cs="Open Sans"/>
            <w:lang w:val="uz-Cyrl-UZ"/>
          </w:rPr>
          <w:t>https://www.egi.eu/about/policy/policies_procedures.html</w:t>
        </w:r>
      </w:hyperlink>
    </w:p>
  </w:footnote>
  <w:footnote w:id="14">
    <w:p w14:paraId="5304B39E" w14:textId="5CDCB3DC" w:rsidR="00D85DB1" w:rsidRPr="00023458" w:rsidRDefault="00D85DB1">
      <w:pPr>
        <w:pStyle w:val="FootnoteText"/>
        <w:rPr>
          <w:lang w:val="uz-Cyrl-UZ"/>
        </w:rPr>
      </w:pPr>
      <w:r>
        <w:rPr>
          <w:rStyle w:val="FootnoteReference"/>
        </w:rPr>
        <w:footnoteRef/>
      </w:r>
      <w:r w:rsidRPr="00023458">
        <w:rPr>
          <w:lang w:val="uz-Cyrl-UZ"/>
        </w:rPr>
        <w:t xml:space="preserve"> </w:t>
      </w:r>
      <w:hyperlink r:id="rId12" w:history="1">
        <w:r w:rsidRPr="00023458">
          <w:rPr>
            <w:rStyle w:val="Hyperlink"/>
            <w:lang w:val="uz-Cyrl-UZ"/>
          </w:rPr>
          <w:t>https://documents.egi.eu/document/74</w:t>
        </w:r>
      </w:hyperlink>
    </w:p>
  </w:footnote>
  <w:footnote w:id="15">
    <w:p w14:paraId="0491776F" w14:textId="60BCE3C5" w:rsidR="00D85DB1" w:rsidRPr="00023458" w:rsidRDefault="00D85DB1">
      <w:pPr>
        <w:pStyle w:val="FootnoteText"/>
        <w:rPr>
          <w:lang w:val="uz-Cyrl-UZ"/>
        </w:rPr>
      </w:pPr>
      <w:r>
        <w:rPr>
          <w:rStyle w:val="FootnoteReference"/>
        </w:rPr>
        <w:footnoteRef/>
      </w:r>
      <w:r w:rsidRPr="00023458">
        <w:rPr>
          <w:lang w:val="uz-Cyrl-UZ"/>
        </w:rPr>
        <w:t xml:space="preserve"> </w:t>
      </w:r>
      <w:hyperlink r:id="rId13" w:history="1">
        <w:r w:rsidRPr="00023458">
          <w:rPr>
            <w:rStyle w:val="Hyperlink"/>
            <w:lang w:val="uz-Cyrl-UZ"/>
          </w:rPr>
          <w:t>http://operations-portal.egi.eu/</w:t>
        </w:r>
      </w:hyperlink>
      <w:r w:rsidRPr="00023458">
        <w:rPr>
          <w:lang w:val="uz-Cyrl-UZ"/>
        </w:rPr>
        <w:t xml:space="preserve"> </w:t>
      </w:r>
    </w:p>
  </w:footnote>
  <w:footnote w:id="16">
    <w:p w14:paraId="06D39FF3" w14:textId="481D36EA" w:rsidR="00D85DB1" w:rsidRPr="00023458" w:rsidRDefault="00D85DB1">
      <w:pPr>
        <w:pStyle w:val="FootnoteText"/>
        <w:rPr>
          <w:lang w:val="uz-Cyrl-UZ"/>
        </w:rPr>
      </w:pPr>
      <w:r>
        <w:rPr>
          <w:rStyle w:val="FootnoteReference"/>
        </w:rPr>
        <w:footnoteRef/>
      </w:r>
      <w:r w:rsidRPr="00023458">
        <w:rPr>
          <w:lang w:val="uz-Cyrl-UZ"/>
        </w:rPr>
        <w:t xml:space="preserve"> </w:t>
      </w:r>
      <w:hyperlink r:id="rId14" w:history="1">
        <w:r w:rsidRPr="00023458">
          <w:rPr>
            <w:rStyle w:val="Hyperlink"/>
            <w:rFonts w:eastAsia="Calibri" w:cs="Open Sans"/>
            <w:lang w:val="uz-Cyrl-UZ"/>
          </w:rPr>
          <w:t>https://wiki.egi.eu/wiki/FAQ_GGUS-New-Support-Unit</w:t>
        </w:r>
      </w:hyperlink>
    </w:p>
  </w:footnote>
  <w:footnote w:id="17">
    <w:p w14:paraId="68236905" w14:textId="00C09707" w:rsidR="00D85DB1" w:rsidRDefault="00D85DB1">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F1B11"/>
    <w:multiLevelType w:val="hybridMultilevel"/>
    <w:tmpl w:val="08E81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470C69"/>
    <w:multiLevelType w:val="multilevel"/>
    <w:tmpl w:val="A3242460"/>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1">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594CA2"/>
    <w:multiLevelType w:val="multilevel"/>
    <w:tmpl w:val="74DA68A8"/>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6">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3"/>
  </w:num>
  <w:num w:numId="5">
    <w:abstractNumId w:val="3"/>
  </w:num>
  <w:num w:numId="6">
    <w:abstractNumId w:val="14"/>
  </w:num>
  <w:num w:numId="7">
    <w:abstractNumId w:val="11"/>
  </w:num>
  <w:num w:numId="8">
    <w:abstractNumId w:val="8"/>
  </w:num>
  <w:num w:numId="9">
    <w:abstractNumId w:val="6"/>
  </w:num>
  <w:num w:numId="10">
    <w:abstractNumId w:val="16"/>
  </w:num>
  <w:num w:numId="11">
    <w:abstractNumId w:val="9"/>
  </w:num>
  <w:num w:numId="12">
    <w:abstractNumId w:val="1"/>
  </w:num>
  <w:num w:numId="13">
    <w:abstractNumId w:val="0"/>
  </w:num>
  <w:num w:numId="14">
    <w:abstractNumId w:val="12"/>
  </w:num>
  <w:num w:numId="15">
    <w:abstractNumId w:val="4"/>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793"/>
    <w:rsid w:val="00015836"/>
    <w:rsid w:val="000232FD"/>
    <w:rsid w:val="00023458"/>
    <w:rsid w:val="00036768"/>
    <w:rsid w:val="00041C04"/>
    <w:rsid w:val="00046C4F"/>
    <w:rsid w:val="000502D5"/>
    <w:rsid w:val="000536E9"/>
    <w:rsid w:val="00062C7D"/>
    <w:rsid w:val="000852E1"/>
    <w:rsid w:val="000C0E87"/>
    <w:rsid w:val="000C39D0"/>
    <w:rsid w:val="000C3CEA"/>
    <w:rsid w:val="000C5695"/>
    <w:rsid w:val="000E00D2"/>
    <w:rsid w:val="000E17FC"/>
    <w:rsid w:val="000E27E8"/>
    <w:rsid w:val="000F328F"/>
    <w:rsid w:val="001013F4"/>
    <w:rsid w:val="0010672E"/>
    <w:rsid w:val="00111729"/>
    <w:rsid w:val="001306F1"/>
    <w:rsid w:val="00130F8B"/>
    <w:rsid w:val="00153BB4"/>
    <w:rsid w:val="001624FB"/>
    <w:rsid w:val="00162D8F"/>
    <w:rsid w:val="00163455"/>
    <w:rsid w:val="001725AC"/>
    <w:rsid w:val="00176CC7"/>
    <w:rsid w:val="001A5250"/>
    <w:rsid w:val="001A640B"/>
    <w:rsid w:val="001B3DDC"/>
    <w:rsid w:val="001B4217"/>
    <w:rsid w:val="001C5D2E"/>
    <w:rsid w:val="001C68FD"/>
    <w:rsid w:val="001D1106"/>
    <w:rsid w:val="001E7F62"/>
    <w:rsid w:val="00221D0C"/>
    <w:rsid w:val="00227F47"/>
    <w:rsid w:val="00232202"/>
    <w:rsid w:val="002539A4"/>
    <w:rsid w:val="0027172A"/>
    <w:rsid w:val="00281724"/>
    <w:rsid w:val="00283160"/>
    <w:rsid w:val="002A3C5A"/>
    <w:rsid w:val="002A7241"/>
    <w:rsid w:val="002B2235"/>
    <w:rsid w:val="002D4A65"/>
    <w:rsid w:val="002D5A09"/>
    <w:rsid w:val="002E5F1F"/>
    <w:rsid w:val="00302AB3"/>
    <w:rsid w:val="003157E8"/>
    <w:rsid w:val="00330670"/>
    <w:rsid w:val="00334E08"/>
    <w:rsid w:val="00337DFA"/>
    <w:rsid w:val="0035124F"/>
    <w:rsid w:val="00362C1C"/>
    <w:rsid w:val="00391D54"/>
    <w:rsid w:val="003962DC"/>
    <w:rsid w:val="003B3E2E"/>
    <w:rsid w:val="003B5139"/>
    <w:rsid w:val="003B6B2B"/>
    <w:rsid w:val="003C3C6F"/>
    <w:rsid w:val="003C43E1"/>
    <w:rsid w:val="003C6C87"/>
    <w:rsid w:val="003E50F6"/>
    <w:rsid w:val="004064C5"/>
    <w:rsid w:val="00411E8A"/>
    <w:rsid w:val="004161FD"/>
    <w:rsid w:val="00425588"/>
    <w:rsid w:val="004338C6"/>
    <w:rsid w:val="00433AAD"/>
    <w:rsid w:val="00442A4D"/>
    <w:rsid w:val="00445FD2"/>
    <w:rsid w:val="00451167"/>
    <w:rsid w:val="00454D75"/>
    <w:rsid w:val="004707AB"/>
    <w:rsid w:val="0049232C"/>
    <w:rsid w:val="004A3ECF"/>
    <w:rsid w:val="004A5A07"/>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A3B97"/>
    <w:rsid w:val="005B239A"/>
    <w:rsid w:val="005B316F"/>
    <w:rsid w:val="005B56A1"/>
    <w:rsid w:val="005B7E47"/>
    <w:rsid w:val="005C01CF"/>
    <w:rsid w:val="005C3A26"/>
    <w:rsid w:val="005D14DF"/>
    <w:rsid w:val="005D18AA"/>
    <w:rsid w:val="005D2951"/>
    <w:rsid w:val="005D5847"/>
    <w:rsid w:val="005D5F45"/>
    <w:rsid w:val="005E05DC"/>
    <w:rsid w:val="005E5D31"/>
    <w:rsid w:val="005F1B1D"/>
    <w:rsid w:val="005F2032"/>
    <w:rsid w:val="0060639B"/>
    <w:rsid w:val="00622087"/>
    <w:rsid w:val="00632022"/>
    <w:rsid w:val="00633621"/>
    <w:rsid w:val="00635B6F"/>
    <w:rsid w:val="00656E4D"/>
    <w:rsid w:val="006669E7"/>
    <w:rsid w:val="00680925"/>
    <w:rsid w:val="00681029"/>
    <w:rsid w:val="00690862"/>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00F1"/>
    <w:rsid w:val="007B285F"/>
    <w:rsid w:val="007B7E16"/>
    <w:rsid w:val="007C78CA"/>
    <w:rsid w:val="00811940"/>
    <w:rsid w:val="008138E8"/>
    <w:rsid w:val="00813ED4"/>
    <w:rsid w:val="00835E24"/>
    <w:rsid w:val="00836AF1"/>
    <w:rsid w:val="00840515"/>
    <w:rsid w:val="00860705"/>
    <w:rsid w:val="00861A09"/>
    <w:rsid w:val="0086659B"/>
    <w:rsid w:val="00867F5F"/>
    <w:rsid w:val="00873234"/>
    <w:rsid w:val="008765EB"/>
    <w:rsid w:val="00876CB0"/>
    <w:rsid w:val="00884A91"/>
    <w:rsid w:val="00895ED8"/>
    <w:rsid w:val="008B1E35"/>
    <w:rsid w:val="008B2F11"/>
    <w:rsid w:val="008B4217"/>
    <w:rsid w:val="008B6BC1"/>
    <w:rsid w:val="008D1EC3"/>
    <w:rsid w:val="008F146C"/>
    <w:rsid w:val="008F5101"/>
    <w:rsid w:val="008F546E"/>
    <w:rsid w:val="009138D4"/>
    <w:rsid w:val="00915675"/>
    <w:rsid w:val="0092709B"/>
    <w:rsid w:val="00931656"/>
    <w:rsid w:val="00947A45"/>
    <w:rsid w:val="009539E1"/>
    <w:rsid w:val="0096720D"/>
    <w:rsid w:val="00973625"/>
    <w:rsid w:val="00976A73"/>
    <w:rsid w:val="00983DB9"/>
    <w:rsid w:val="009D0106"/>
    <w:rsid w:val="009E00A2"/>
    <w:rsid w:val="009F1E23"/>
    <w:rsid w:val="009F24C9"/>
    <w:rsid w:val="009F5A4E"/>
    <w:rsid w:val="00A004E9"/>
    <w:rsid w:val="00A0299E"/>
    <w:rsid w:val="00A05867"/>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3237"/>
    <w:rsid w:val="00B9637E"/>
    <w:rsid w:val="00B964AE"/>
    <w:rsid w:val="00B9661F"/>
    <w:rsid w:val="00B96855"/>
    <w:rsid w:val="00B97DA2"/>
    <w:rsid w:val="00BA1930"/>
    <w:rsid w:val="00BA6136"/>
    <w:rsid w:val="00BB2749"/>
    <w:rsid w:val="00BB61C7"/>
    <w:rsid w:val="00BE2189"/>
    <w:rsid w:val="00BE59F0"/>
    <w:rsid w:val="00C062E3"/>
    <w:rsid w:val="00C215FD"/>
    <w:rsid w:val="00C30AE9"/>
    <w:rsid w:val="00C30F80"/>
    <w:rsid w:val="00C34F7E"/>
    <w:rsid w:val="00C400A4"/>
    <w:rsid w:val="00C40D39"/>
    <w:rsid w:val="00C43B5D"/>
    <w:rsid w:val="00C46ACD"/>
    <w:rsid w:val="00C63D9F"/>
    <w:rsid w:val="00C7087D"/>
    <w:rsid w:val="00C82428"/>
    <w:rsid w:val="00C9076E"/>
    <w:rsid w:val="00C96C8F"/>
    <w:rsid w:val="00CA29D5"/>
    <w:rsid w:val="00CA2F48"/>
    <w:rsid w:val="00CB1D9E"/>
    <w:rsid w:val="00CB6311"/>
    <w:rsid w:val="00CC3459"/>
    <w:rsid w:val="00CC7A3E"/>
    <w:rsid w:val="00CD439D"/>
    <w:rsid w:val="00CD57DB"/>
    <w:rsid w:val="00CE1F5A"/>
    <w:rsid w:val="00CE4231"/>
    <w:rsid w:val="00CF1E31"/>
    <w:rsid w:val="00CF2238"/>
    <w:rsid w:val="00CF2D58"/>
    <w:rsid w:val="00CF56AD"/>
    <w:rsid w:val="00CF6B90"/>
    <w:rsid w:val="00D00565"/>
    <w:rsid w:val="00D00DDB"/>
    <w:rsid w:val="00D04EA5"/>
    <w:rsid w:val="00D065EF"/>
    <w:rsid w:val="00D075E1"/>
    <w:rsid w:val="00D124D3"/>
    <w:rsid w:val="00D206E9"/>
    <w:rsid w:val="00D26F29"/>
    <w:rsid w:val="00D402E0"/>
    <w:rsid w:val="00D42568"/>
    <w:rsid w:val="00D4438C"/>
    <w:rsid w:val="00D46739"/>
    <w:rsid w:val="00D604F6"/>
    <w:rsid w:val="00D859A3"/>
    <w:rsid w:val="00D85DB1"/>
    <w:rsid w:val="00D861E6"/>
    <w:rsid w:val="00D862F1"/>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91874"/>
    <w:rsid w:val="00EA73F8"/>
    <w:rsid w:val="00EB2352"/>
    <w:rsid w:val="00EB6B9C"/>
    <w:rsid w:val="00EC504F"/>
    <w:rsid w:val="00EC75A5"/>
    <w:rsid w:val="00ED5566"/>
    <w:rsid w:val="00EE70C2"/>
    <w:rsid w:val="00EF17C8"/>
    <w:rsid w:val="00EF6CCC"/>
    <w:rsid w:val="00F06E24"/>
    <w:rsid w:val="00F20835"/>
    <w:rsid w:val="00F30F42"/>
    <w:rsid w:val="00F33541"/>
    <w:rsid w:val="00F337DD"/>
    <w:rsid w:val="00F409D0"/>
    <w:rsid w:val="00F42F91"/>
    <w:rsid w:val="00F516E7"/>
    <w:rsid w:val="00F66DAF"/>
    <w:rsid w:val="00F67FE1"/>
    <w:rsid w:val="00F7162A"/>
    <w:rsid w:val="00F77C82"/>
    <w:rsid w:val="00F81A6C"/>
    <w:rsid w:val="00FA7957"/>
    <w:rsid w:val="00FB5C97"/>
    <w:rsid w:val="00FC2F1A"/>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1">
    <w:name w:val="Unresolved Mention1"/>
    <w:basedOn w:val="DefaultParagraphFont"/>
    <w:uiPriority w:val="99"/>
    <w:semiHidden/>
    <w:unhideWhenUsed/>
    <w:rsid w:val="005B7E47"/>
    <w:rPr>
      <w:color w:val="605E5C"/>
      <w:shd w:val="clear" w:color="auto" w:fill="E1DFDD"/>
    </w:rPr>
  </w:style>
  <w:style w:type="character" w:customStyle="1" w:styleId="UnresolvedMention">
    <w:name w:val="Unresolved Mention"/>
    <w:basedOn w:val="DefaultParagraphFont"/>
    <w:uiPriority w:val="99"/>
    <w:semiHidden/>
    <w:unhideWhenUsed/>
    <w:rsid w:val="004A5A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UnresolvedMention1">
    <w:name w:val="Unresolved Mention1"/>
    <w:basedOn w:val="DefaultParagraphFont"/>
    <w:uiPriority w:val="99"/>
    <w:semiHidden/>
    <w:unhideWhenUsed/>
    <w:rsid w:val="005B7E47"/>
    <w:rPr>
      <w:color w:val="605E5C"/>
      <w:shd w:val="clear" w:color="auto" w:fill="E1DFDD"/>
    </w:rPr>
  </w:style>
  <w:style w:type="character" w:customStyle="1" w:styleId="UnresolvedMention">
    <w:name w:val="Unresolved Mention"/>
    <w:basedOn w:val="DefaultParagraphFont"/>
    <w:uiPriority w:val="99"/>
    <w:semiHidden/>
    <w:unhideWhenUsed/>
    <w:rsid w:val="004A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8184629">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 w:id="17400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mpute/" TargetMode="External"/><Relationship Id="rId18" Type="http://schemas.openxmlformats.org/officeDocument/2006/relationships/hyperlink" Target="https://www.egi.eu/services/cloud-compute/" TargetMode="External"/><Relationship Id="rId26" Type="http://schemas.openxmlformats.org/officeDocument/2006/relationships/hyperlink" Target="https://www.egi.eu/services/cloud-compute/" TargetMode="External"/><Relationship Id="rId39" Type="http://schemas.openxmlformats.org/officeDocument/2006/relationships/hyperlink" Target="mailto:complaints@egi.eu" TargetMode="External"/><Relationship Id="rId3" Type="http://schemas.openxmlformats.org/officeDocument/2006/relationships/styles" Target="styles.xml"/><Relationship Id="rId21" Type="http://schemas.openxmlformats.org/officeDocument/2006/relationships/hyperlink" Target="https://www.egi.eu/services/cloud-compute/" TargetMode="External"/><Relationship Id="rId34" Type="http://schemas.openxmlformats.org/officeDocument/2006/relationships/hyperlink" Target="https://operations-portal.egi.eu/vo/view/voname/vo.nextgeoss.e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hyperlink" Target="https://www.egi.eu/services/archive-storage/" TargetMode="External"/><Relationship Id="rId25" Type="http://schemas.openxmlformats.org/officeDocument/2006/relationships/hyperlink" Target="https://www.egi.eu/services/cloud-container/" TargetMode="External"/><Relationship Id="rId33" Type="http://schemas.openxmlformats.org/officeDocument/2006/relationships/hyperlink" Target="https://www.egi.eu/services/online-storage/" TargetMode="External"/><Relationship Id="rId38"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ww.egi.eu/services/online-storage/" TargetMode="External"/><Relationship Id="rId20" Type="http://schemas.openxmlformats.org/officeDocument/2006/relationships/hyperlink" Target="https://www.egi.eu/services/cloud-compute/" TargetMode="External"/><Relationship Id="rId29" Type="http://schemas.openxmlformats.org/officeDocument/2006/relationships/hyperlink" Target="https://www.egi.eu/services/online-storag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426" TargetMode="External"/><Relationship Id="rId24" Type="http://schemas.openxmlformats.org/officeDocument/2006/relationships/hyperlink" Target="https://www.egi.eu/services/cloud-compute/" TargetMode="External"/><Relationship Id="rId32" Type="http://schemas.openxmlformats.org/officeDocument/2006/relationships/hyperlink" Target="https://www.egi.eu/services/online-storage/" TargetMode="External"/><Relationship Id="rId37" Type="http://schemas.openxmlformats.org/officeDocument/2006/relationships/hyperlink" Target="mailto:herve.caumont@terradue.co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gi.eu/services/high-throughput-compute/" TargetMode="External"/><Relationship Id="rId23" Type="http://schemas.openxmlformats.org/officeDocument/2006/relationships/hyperlink" Target="https://www.egi.eu/services/cloud-compute/" TargetMode="External"/><Relationship Id="rId28" Type="http://schemas.openxmlformats.org/officeDocument/2006/relationships/hyperlink" Target="https://www.egi.eu/services/cloud-compute/" TargetMode="External"/><Relationship Id="rId36" Type="http://schemas.openxmlformats.org/officeDocument/2006/relationships/hyperlink" Target="https://wiki.egi.eu/wiki/EGI_Service_requests" TargetMode="External"/><Relationship Id="rId10" Type="http://schemas.openxmlformats.org/officeDocument/2006/relationships/hyperlink" Target="https://documents.egi.eu/document/3426" TargetMode="External"/><Relationship Id="rId19" Type="http://schemas.openxmlformats.org/officeDocument/2006/relationships/hyperlink" Target="https://www.egi.eu/services/cloud-compute/" TargetMode="External"/><Relationship Id="rId31" Type="http://schemas.openxmlformats.org/officeDocument/2006/relationships/hyperlink" Target="https://www.egi.eu/services/online-stora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cloud-container/" TargetMode="External"/><Relationship Id="rId22" Type="http://schemas.openxmlformats.org/officeDocument/2006/relationships/hyperlink" Target="https://www.egi.eu/services/cloud-compute/" TargetMode="External"/><Relationship Id="rId27" Type="http://schemas.openxmlformats.org/officeDocument/2006/relationships/hyperlink" Target="https://www.egi.eu/services/cloud-compute/" TargetMode="External"/><Relationship Id="rId30" Type="http://schemas.openxmlformats.org/officeDocument/2006/relationships/hyperlink" Target="https://www.egi.eu/services/online-storage/" TargetMode="External"/><Relationship Id="rId35" Type="http://schemas.openxmlformats.org/officeDocument/2006/relationships/hyperlink" Target="https://appdb.egi.eu/store/vo/vo.nextgeoss.eu"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FA85-0D15-4A43-89F2-1F225645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2984</Words>
  <Characters>17014</Characters>
  <Application>Microsoft Office Word</Application>
  <DocSecurity>0</DocSecurity>
  <Lines>141</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Windows User</cp:lastModifiedBy>
  <cp:revision>5</cp:revision>
  <cp:lastPrinted>2015-11-30T14:42:00Z</cp:lastPrinted>
  <dcterms:created xsi:type="dcterms:W3CDTF">2019-09-02T08:15:00Z</dcterms:created>
  <dcterms:modified xsi:type="dcterms:W3CDTF">2019-11-27T16:09:00Z</dcterms:modified>
</cp:coreProperties>
</file>